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9" w:lineRule="auto" w:before="67"/>
        <w:ind w:left="2449" w:right="3695" w:firstLine="11"/>
        <w:jc w:val="left"/>
        <w:rPr>
          <w:rFonts w:ascii="Arial"/>
          <w:b/>
          <w:sz w:val="34"/>
        </w:rPr>
      </w:pPr>
      <w:r>
        <w:rPr>
          <w:rFonts w:ascii="Arial"/>
          <w:b/>
          <w:color w:val="3D957E"/>
          <w:w w:val="110"/>
          <w:sz w:val="34"/>
        </w:rPr>
        <w:t>National Independent Safeguarding Board</w:t>
      </w:r>
      <w:r>
        <w:rPr>
          <w:rFonts w:ascii="Arial"/>
          <w:b/>
          <w:color w:val="3D957E"/>
          <w:spacing w:val="-53"/>
          <w:w w:val="110"/>
          <w:sz w:val="34"/>
        </w:rPr>
        <w:t> </w:t>
      </w:r>
      <w:r>
        <w:rPr>
          <w:rFonts w:ascii="Arial"/>
          <w:b/>
          <w:color w:val="3D957E"/>
          <w:w w:val="110"/>
          <w:sz w:val="34"/>
        </w:rPr>
        <w:t>Wales</w:t>
      </w:r>
    </w:p>
    <w:p>
      <w:pPr>
        <w:pStyle w:val="BodyText"/>
        <w:spacing w:before="10"/>
        <w:rPr>
          <w:rFonts w:ascii="Arial"/>
          <w:b/>
          <w:sz w:val="14"/>
        </w:rPr>
      </w:pPr>
    </w:p>
    <w:p>
      <w:pPr>
        <w:spacing w:after="0"/>
        <w:rPr>
          <w:rFonts w:ascii="Arial"/>
          <w:sz w:val="14"/>
        </w:rPr>
        <w:sectPr>
          <w:type w:val="continuous"/>
          <w:pgSz w:w="11910" w:h="16840"/>
          <w:pgMar w:top="620" w:bottom="280" w:left="520" w:right="520"/>
        </w:sectPr>
      </w:pPr>
    </w:p>
    <w:p>
      <w:pPr>
        <w:spacing w:line="259" w:lineRule="auto" w:before="169"/>
        <w:ind w:left="2464" w:right="14" w:hanging="5"/>
        <w:jc w:val="left"/>
        <w:rPr>
          <w:rFonts w:ascii="Arial"/>
          <w:b/>
          <w:sz w:val="34"/>
        </w:rPr>
      </w:pPr>
      <w:r>
        <w:rPr>
          <w:rFonts w:ascii="Arial"/>
          <w:b/>
          <w:color w:val="3D957E"/>
          <w:w w:val="105"/>
          <w:sz w:val="34"/>
        </w:rPr>
        <w:t>Bwrdd Diogelu Annibynnol Cenedlaethol Cymru</w:t>
      </w:r>
    </w:p>
    <w:p>
      <w:pPr>
        <w:spacing w:line="266" w:lineRule="auto" w:before="96"/>
        <w:ind w:left="2460" w:right="106" w:firstLine="10"/>
        <w:jc w:val="center"/>
        <w:rPr>
          <w:rFonts w:ascii="Arial"/>
          <w:sz w:val="12"/>
        </w:rPr>
      </w:pPr>
      <w:r>
        <w:rPr/>
        <w:br w:type="column"/>
      </w:r>
      <w:r>
        <w:rPr>
          <w:rFonts w:ascii="Arial"/>
          <w:color w:val="3D957E"/>
          <w:w w:val="105"/>
          <w:sz w:val="12"/>
        </w:rPr>
        <w:t>Ari</w:t>
      </w:r>
      <w:r>
        <w:rPr>
          <w:rFonts w:ascii="Arial"/>
          <w:color w:val="5BA591"/>
          <w:w w:val="105"/>
          <w:sz w:val="12"/>
        </w:rPr>
        <w:t>e</w:t>
      </w:r>
      <w:r>
        <w:rPr>
          <w:rFonts w:ascii="Arial"/>
          <w:color w:val="3D957E"/>
          <w:w w:val="105"/>
          <w:sz w:val="12"/>
        </w:rPr>
        <w:t>nnir g</w:t>
      </w:r>
      <w:r>
        <w:rPr>
          <w:rFonts w:ascii="Arial"/>
          <w:color w:val="5BA591"/>
          <w:w w:val="105"/>
          <w:sz w:val="12"/>
        </w:rPr>
        <w:t>a</w:t>
      </w:r>
      <w:r>
        <w:rPr>
          <w:rFonts w:ascii="Arial"/>
          <w:color w:val="3D957E"/>
          <w:w w:val="105"/>
          <w:sz w:val="12"/>
        </w:rPr>
        <w:t>n Lywodraeth Cymru</w:t>
      </w:r>
    </w:p>
    <w:p>
      <w:pPr>
        <w:spacing w:before="31"/>
        <w:ind w:left="2443" w:right="78" w:firstLine="0"/>
        <w:jc w:val="center"/>
        <w:rPr>
          <w:rFonts w:ascii="Times New Roman"/>
          <w:sz w:val="14"/>
        </w:rPr>
      </w:pPr>
      <w:r>
        <w:rPr>
          <w:rFonts w:ascii="Times New Roman"/>
          <w:color w:val="3D957E"/>
          <w:w w:val="85"/>
          <w:sz w:val="14"/>
        </w:rPr>
        <w:t>Fun d</w:t>
      </w:r>
      <w:r>
        <w:rPr>
          <w:rFonts w:ascii="Times New Roman"/>
          <w:color w:val="5BA591"/>
          <w:w w:val="85"/>
          <w:sz w:val="14"/>
        </w:rPr>
        <w:t>e</w:t>
      </w:r>
      <w:r>
        <w:rPr>
          <w:rFonts w:ascii="Times New Roman"/>
          <w:color w:val="3D957E"/>
          <w:w w:val="85"/>
          <w:sz w:val="14"/>
        </w:rPr>
        <w:t>d b</w:t>
      </w:r>
      <w:r>
        <w:rPr>
          <w:rFonts w:ascii="Times New Roman"/>
          <w:color w:val="5BA591"/>
          <w:w w:val="85"/>
          <w:sz w:val="14"/>
        </w:rPr>
        <w:t>y</w:t>
      </w:r>
    </w:p>
    <w:p>
      <w:pPr>
        <w:spacing w:before="6"/>
        <w:ind w:left="2443" w:right="97" w:firstLine="0"/>
        <w:jc w:val="center"/>
        <w:rPr>
          <w:rFonts w:ascii="Arial"/>
          <w:sz w:val="12"/>
        </w:rPr>
      </w:pPr>
      <w:r>
        <w:rPr>
          <w:rFonts w:ascii="Arial"/>
          <w:color w:val="3D957E"/>
          <w:w w:val="105"/>
          <w:sz w:val="12"/>
        </w:rPr>
        <w:t>Welsh Government</w:t>
      </w:r>
    </w:p>
    <w:p>
      <w:pPr>
        <w:spacing w:after="0"/>
        <w:jc w:val="center"/>
        <w:rPr>
          <w:rFonts w:ascii="Arial"/>
          <w:sz w:val="12"/>
        </w:rPr>
        <w:sectPr>
          <w:type w:val="continuous"/>
          <w:pgSz w:w="11910" w:h="16840"/>
          <w:pgMar w:top="620" w:bottom="280" w:left="520" w:right="520"/>
          <w:cols w:num="2" w:equalWidth="0">
            <w:col w:w="7075" w:space="135"/>
            <w:col w:w="3660"/>
          </w:cols>
        </w:sectPr>
      </w:pPr>
    </w:p>
    <w:p>
      <w:pPr>
        <w:pStyle w:val="BodyText"/>
        <w:rPr>
          <w:rFonts w:ascii="Arial"/>
          <w:sz w:val="20"/>
        </w:rPr>
      </w:pPr>
      <w:r>
        <w:rPr/>
        <w:pict>
          <v:group style="position:absolute;margin-left:.00003pt;margin-top:.00001pt;width:595.3pt;height:841.9pt;mso-position-horizontal-relative:page;mso-position-vertical-relative:page;z-index:-17848320" coordorigin="0,0" coordsize="11906,16838">
            <v:shape style="position:absolute;left:0;top:0;width:11906;height:16838" type="#_x0000_t75" stroked="false">
              <v:imagedata r:id="rId5" o:title=""/>
            </v:shape>
            <v:shape style="position:absolute;left:3702;top:5371;width:8204;height:11467" coordorigin="3702,5372" coordsize="8204,11467" path="m9007,11738l8799,11589,8230,11261,7387,10933,6355,10783,5489,10798,4924,10903,4412,11186,3702,11738,3911,11887,4479,12215,5322,12543,6355,12692,7220,12677,7785,12573,8298,12290,9007,11738xm9318,12488l9065,12530,8431,12700,7603,13064,6768,13689,6166,14312,5841,14785,5678,15348,5567,16239,5820,16197,6454,16027,7282,15663,8117,15039,8719,14416,9044,13943,9206,13380,9318,12488xm9318,10987l9276,10735,9106,10101,8742,9273,8117,8437,7495,7836,7022,7510,6459,7348,5567,7236,5609,7489,5779,8123,6143,8951,6768,9787,7390,10388,7863,10714,8426,10876,9318,10987xm11023,15452l10874,14419,10546,13576,10218,13007,10068,12799,9517,13508,9233,14021,9129,14586,9114,15452,9263,16484,9401,16838,10912,16838,11008,16317,11023,15452xm11023,8024l10874,6992,10546,6149,10218,5580,10068,5372,9517,6081,9233,6594,9129,7159,9114,8024,9263,9057,9591,9900,9919,10468,10068,10677,10620,9967,10903,9454,11008,8890,11023,8024xm11906,11149l11839,11186,11130,11738,11338,11887,11906,12214,11906,11149xm11906,12656l11711,12600,10819,12488,10861,12741,11031,13375,11395,14203,11906,14886,11906,12656xm11906,8555l11418,9060,11093,9533,10930,10096,10819,10987,11072,10946,11706,10776,11906,10688,11906,8555xe" filled="true" fillcolor="#f99d2c" stroked="false">
              <v:path arrowok="t"/>
              <v:fill type="solid"/>
            </v:shape>
            <v:shape style="position:absolute;left:1343;top:1901;width:344;height:948" type="#_x0000_t75" stroked="false">
              <v:imagedata r:id="rId6" o:title=""/>
            </v:shape>
            <v:shape style="position:absolute;left:371;top:566;width:2289;height:1954" type="#_x0000_t75" stroked="false">
              <v:imagedata r:id="rId7" o:title=""/>
            </v:shape>
            <v:rect style="position:absolute;left:2991;top:1678;width:4677;height:40" filled="true" fillcolor="#3b957d" stroked="false">
              <v:fill type="solid"/>
            </v:rect>
            <v:shape style="position:absolute;left:10102;top:827;width:1231;height:1730" coordorigin="10103,828" coordsize="1231,1730" path="m10103,2453l10111,2493,10133,2526,10166,2549,10206,2557,11229,2557,11269,2549,11302,2526,11325,2493,11333,2453,11333,932,11325,891,11302,858,11269,836,11229,828,10206,828,10166,836,10133,858,10111,891,10103,932,10103,2453xe" filled="false" stroked="true" strokeweight=".578pt" strokecolor="#3b957d">
              <v:path arrowok="t"/>
              <v:stroke dashstyle="solid"/>
            </v:shape>
            <v:line style="position:absolute" from="11236,1685" to="10199,1685" stroked="true" strokeweight=".796pt" strokecolor="#3b957d">
              <v:stroke dashstyle="solid"/>
            </v:line>
            <v:rect style="position:absolute;left:8428;top:9852;width:3394;height:4286" filled="true" fillcolor="#d5583b" stroked="false">
              <v:fill type="solid"/>
            </v:rect>
            <v:shape style="position:absolute;left:7149;top:9436;width:4756;height:5106" coordorigin="7150,9436" coordsize="4756,5106" path="m7914,10703l7563,10704,7472,10708,7394,10723,7327,10747,7271,10780,7227,10825,7192,10879,7168,10945,7154,11023,7150,11111,7150,13324,7150,13753,7153,13834,7163,13912,7178,13986,7200,14057,7227,14123,7260,14186,7298,14244,7341,14297,7389,14346,7442,14390,7500,14428,7561,14461,7627,14489,7697,14511,7770,14527,7847,14537,7928,14540,9677,14542,11469,14540,11551,14537,11630,14527,11704,14511,11775,14490,11842,14462,11904,14429,11906,14428,11906,13871,10197,13871,8650,13870,8650,13869,7897,13869,7865,13865,7840,13852,7824,13824,7817,13779,7816,13703,7815,13627,7815,13551,7815,13399,7815,13324,7816,13141,7816,11382,8650,11382,8650,10703,7986,10703,7914,10703xm11906,10116l11587,10116,11587,10121,11587,10126,11587,13726,11583,13809,11565,13852,11527,13868,11461,13870,10197,13871,11906,13871,11906,10116xm8650,11382l7985,11382,7986,11391,7986,11400,7986,11808,7986,13106,7986,13741,7987,13762,7986,13772,7986,13782,7977,13826,7959,13853,7933,13865,7897,13869,8650,13869,8650,11382xm10389,9436l8393,9437,8302,9441,8224,9455,8158,9477,8104,9511,8060,9554,8027,9609,8004,9676,7991,9755,7987,9846,7986,10703,8650,10703,8650,10116,11906,10116,11906,9440,11851,9437,10389,9436xe" filled="true" fillcolor="#ffffff" stroked="false">
              <v:path arrowok="t"/>
              <v:fill type="solid"/>
            </v:shape>
            <v:shape style="position:absolute;left:7048;top:9335;width:4857;height:5307" coordorigin="7049,9336" coordsize="4857,5307" path="m7756,10603l7563,10603,7480,10607,7405,10618,7337,10635,7276,10660,7223,10691,7176,10730,7137,10776,7106,10829,7081,10888,7063,10956,7053,11030,7049,11111,7049,13088,7049,13461,7049,13726,7050,13758,7052,13835,7061,13914,7075,13990,7095,14063,7120,14132,7150,14197,7184,14259,7224,14316,7268,14370,7317,14419,7370,14463,7427,14503,7488,14539,7552,14569,7621,14594,7693,14614,7768,14628,7846,14637,7928,14640,9522,14643,11469,14641,11547,14638,11622,14630,11695,14617,11764,14598,11830,14576,11893,14548,11906,14541,11906,14442,9681,14442,7928,14440,7847,14436,7770,14425,7698,14408,7631,14384,7568,14353,7510,14317,7458,14275,7411,14227,7369,14174,7334,14115,7304,14052,7281,13984,7264,13911,7254,13834,7250,13753,7250,13221,7250,11111,7255,11022,7271,10950,7299,10894,7341,10853,7398,10825,7472,10809,7563,10804,8087,10804,8087,10603,7886,10603,7756,10603xm11906,14306l11892,14317,11834,14354,11770,14384,11702,14408,11629,14425,11551,14436,11468,14440,9681,14442,11906,14442,11906,14306xm11680,10016l8550,10016,8550,13964,8589,13968,8609,13970,8628,13971,10209,13971,11461,13971,11552,13963,11617,13938,11659,13893,11681,13823,11685,13770,10522,13770,8750,13770,8750,10216,11688,10216,11688,10130,11687,10101,11685,10072,11682,10043,11680,10016xm8079,11282l7715,11282,7715,13221,7715,13381,7715,13461,7715,13541,7715,13621,7715,13701,7717,13781,7730,13861,7767,13921,7823,13957,7897,13969,7902,13969,7978,13956,8033,13922,8068,13866,8086,13792,8087,13775,8087,13760,8087,13088,8087,11888,8086,11409,8086,11379,8084,11349,8081,11316,8079,11282xm11688,10216l11487,10216,11487,13381,11487,13739,11486,13750,11486,13760,11485,13769,11478,13769,11470,13770,10522,13770,11685,13770,11688,13726,11688,10216xm8087,10804l7756,10804,8087,10804,8087,10804xm10094,9336l8393,9336,8309,9340,8234,9350,8166,9366,8106,9390,8054,9421,8009,9459,7971,9504,7940,9557,7916,9618,7900,9686,7890,9762,7886,9846,7886,9925,7886,10603,8087,10603,8087,9925,8087,9846,8092,9754,8106,9680,8133,9624,8173,9583,8229,9557,8301,9542,8393,9537,11906,9537,11906,9339,11852,9336,10094,9336xm11906,9537l10094,9537,11851,9537,11906,9540,11906,9537xe" filled="true" fillcolor="#d5583b" stroked="false">
              <v:path arrowok="t"/>
              <v:fill type="solid"/>
            </v:shape>
            <v:shape style="position:absolute;left:10139;top:10431;width:1401;height:1750" coordorigin="10140,10432" coordsize="1401,1750" path="m11281,10432l10396,10432,10338,10436,10242,10470,10176,10538,10143,10633,10140,10690,10141,10776,10141,10862,10141,10948,10141,11301,10141,11662,10141,11838,10140,11925,10143,11983,10175,12078,10241,12144,10337,12178,10397,12182,10472,12181,10769,12180,11018,12180,11279,12182,11284,12182,11392,12165,11472,12116,11523,12035,11540,11927,11541,10690,11536,10633,11502,10538,11435,10471,11339,10436,11281,10432xe" filled="true" fillcolor="#ffffff" stroked="false">
              <v:path arrowok="t"/>
              <v:fill type="solid"/>
            </v:shape>
            <v:shape style="position:absolute;left:10039;top:10331;width:1602;height:1951" coordorigin="10039,10331" coordsize="1602,1951" path="m11311,12280l10842,12280,11284,12282,11311,12280xm10397,10331l10318,10338,10247,10356,10186,10387,10133,10430,10091,10483,10061,10544,10044,10614,10039,10692,10040,10777,10041,10842,10041,10995,10041,11071,10040,11210,10040,11379,10041,11536,10041,11692,10041,11770,10040,11836,10039,11924,10044,12002,10062,12072,10091,12133,10133,12185,10185,12228,10246,12258,10315,12276,10393,12282,11311,12280,11361,12276,11430,12258,11491,12229,11543,12187,11586,12135,11612,12081,11280,12081,10393,12081,10324,12072,10276,12044,10249,11996,10240,11927,10240,11924,10241,11848,10241,11770,10241,11536,10241,11379,10241,11210,10242,11071,10242,10995,10242,10842,10241,10765,10240,10689,10249,10618,10278,10569,10327,10541,10396,10532,11611,10532,11609,10526,11578,10470,11544,10430,11490,10387,11429,10356,11359,10338,11288,10332,10836,10332,10397,10331xm11611,10532l11282,10532,11351,10542,11401,10571,11430,10620,11440,10689,11440,11927,11431,11996,11402,12044,11353,12072,11284,12081,11612,12081,11616,12074,11635,12005,11641,11927,11641,10689,11632,10599,11611,10532xm10842,12079l10396,12081,11271,12081,10842,12079xm11271,10532l10396,10532,10910,10533,11271,10532xm11282,10331l10836,10332,11288,10332,11282,10331xe" filled="true" fillcolor="#d5583b" stroked="false">
              <v:path arrowok="t"/>
              <v:fill type="solid"/>
            </v:shape>
            <v:shape style="position:absolute;left:8952;top:10532;width:2272;height:2852" coordorigin="8953,10533" coordsize="2272,2852" path="m9847,13144l8953,13144,8953,13384,9847,13384,9847,13144xm9847,12491l8953,12491,8953,12731,9847,12731,9847,12491xm9847,11838l8953,11838,8953,12078,9847,12078,9847,11838xm9847,11186l8953,11186,8953,11426,9847,11426,9847,11186xm9847,10533l8953,10533,8953,10773,9847,10773,9847,10533xm11224,13144l10330,13144,10330,13384,11224,13384,11224,13144xm11224,12491l10330,12491,10330,12731,11224,12731,11224,12491xe" filled="true" fillcolor="#ffffff" stroked="false">
              <v:path arrowok="t"/>
              <v:fill type="solid"/>
            </v:shape>
            <v:shape style="position:absolute;left:10309;top:941;width:866;height:635" type="#_x0000_t75" stroked="false">
              <v:imagedata r:id="rId8" o:titl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7"/>
        </w:rPr>
      </w:pPr>
    </w:p>
    <w:p>
      <w:pPr>
        <w:pStyle w:val="Title"/>
      </w:pPr>
      <w:r>
        <w:rPr>
          <w:color w:val="3E77A4"/>
          <w:w w:val="105"/>
        </w:rPr>
        <w:t>Annual Report</w:t>
      </w:r>
    </w:p>
    <w:p>
      <w:pPr>
        <w:spacing w:before="41"/>
        <w:ind w:left="160" w:right="0" w:firstLine="0"/>
        <w:jc w:val="left"/>
        <w:rPr>
          <w:rFonts w:ascii="Arial" w:hAnsi="Arial"/>
          <w:sz w:val="93"/>
        </w:rPr>
      </w:pPr>
      <w:r>
        <w:rPr>
          <w:rFonts w:ascii="Arial" w:hAnsi="Arial"/>
          <w:color w:val="3E77A4"/>
          <w:w w:val="105"/>
          <w:sz w:val="93"/>
        </w:rPr>
        <w:t>2017–18</w:t>
      </w:r>
    </w:p>
    <w:p>
      <w:pPr>
        <w:spacing w:after="0"/>
        <w:jc w:val="left"/>
        <w:rPr>
          <w:rFonts w:ascii="Arial" w:hAnsi="Arial"/>
          <w:sz w:val="93"/>
        </w:rPr>
        <w:sectPr>
          <w:type w:val="continuous"/>
          <w:pgSz w:w="11910" w:h="16840"/>
          <w:pgMar w:top="620" w:bottom="280" w:left="520" w:right="520"/>
        </w:sectPr>
      </w:pPr>
    </w:p>
    <w:p>
      <w:pPr>
        <w:pStyle w:val="BodyText"/>
        <w:rPr>
          <w:rFonts w:ascii="Arial"/>
          <w:sz w:val="20"/>
        </w:rPr>
      </w:pPr>
      <w:r>
        <w:rPr/>
        <w:pict>
          <v:shapetype id="_x0000_t202" o:spt="202" coordsize="21600,21600" path="m,l,21600r21600,l21600,xe">
            <v:stroke joinstyle="miter"/>
            <v:path gradientshapeok="t" o:connecttype="rect"/>
          </v:shapetype>
          <v:shape style="position:absolute;margin-left:7.0315pt;margin-top:392.799713pt;width:15.7pt;height:56.3pt;mso-position-horizontal-relative:page;mso-position-vertical-relative:page;z-index:15729152" type="#_x0000_t202" filled="false" stroked="false">
            <v:textbox inset="0,0,0,0" style="layout-flow:vertical;mso-layout-flow-alt:bottom-to-top">
              <w:txbxContent>
                <w:p>
                  <w:pPr>
                    <w:spacing w:before="20"/>
                    <w:ind w:left="20" w:right="0" w:firstLine="0"/>
                    <w:jc w:val="left"/>
                    <w:rPr>
                      <w:sz w:val="20"/>
                    </w:rPr>
                  </w:pPr>
                  <w:r>
                    <w:rPr>
                      <w:color w:val="FFFFFF"/>
                      <w:sz w:val="20"/>
                    </w:rPr>
                    <w:t>Introduction</w:t>
                  </w:r>
                </w:p>
              </w:txbxContent>
            </v:textbox>
            <w10:wrap type="none"/>
          </v:shape>
        </w:pict>
      </w:r>
      <w:r>
        <w:rPr/>
        <w:pict>
          <v:rect style="position:absolute;margin-left:0pt;margin-top:.000015pt;width:28.346pt;height:841.89pt;mso-position-horizontal-relative:page;mso-position-vertical-relative:page;z-index:15729664" filled="true" fillcolor="#3e77a4" stroked="false">
            <v:fill type="solid"/>
            <w10:wrap type="none"/>
          </v:rect>
        </w:pict>
      </w:r>
    </w:p>
    <w:p>
      <w:pPr>
        <w:pStyle w:val="BodyText"/>
        <w:spacing w:before="10"/>
        <w:rPr>
          <w:rFonts w:ascii="Arial"/>
          <w:sz w:val="28"/>
        </w:rPr>
      </w:pPr>
    </w:p>
    <w:p>
      <w:pPr>
        <w:tabs>
          <w:tab w:pos="7198" w:val="left" w:leader="none"/>
        </w:tabs>
        <w:spacing w:before="100"/>
        <w:ind w:left="727" w:right="0" w:firstLine="0"/>
        <w:jc w:val="left"/>
        <w:rPr>
          <w:sz w:val="16"/>
        </w:rPr>
      </w:pPr>
      <w:r>
        <w:rPr>
          <w:color w:val="231F20"/>
          <w:sz w:val="16"/>
        </w:rPr>
        <w:t>2</w:t>
        <w:tab/>
        <w:t>National Independent Safeguarding Board</w:t>
      </w:r>
      <w:r>
        <w:rPr>
          <w:color w:val="231F20"/>
          <w:spacing w:val="-7"/>
          <w:sz w:val="16"/>
        </w:rPr>
        <w:t> </w:t>
      </w:r>
      <w:r>
        <w:rPr>
          <w:color w:val="231F20"/>
          <w:sz w:val="16"/>
        </w:rPr>
        <w:t>Wales</w:t>
      </w:r>
    </w:p>
    <w:p>
      <w:pPr>
        <w:spacing w:after="0"/>
        <w:jc w:val="left"/>
        <w:rPr>
          <w:sz w:val="16"/>
        </w:rPr>
        <w:sectPr>
          <w:pgSz w:w="11910" w:h="16840"/>
          <w:pgMar w:top="0" w:bottom="0" w:left="520" w:right="520"/>
        </w:sectPr>
      </w:pPr>
    </w:p>
    <w:p>
      <w:pPr>
        <w:pStyle w:val="BodyText"/>
        <w:rPr>
          <w:sz w:val="20"/>
        </w:rPr>
      </w:pPr>
      <w:r>
        <w:rPr/>
        <w:pict>
          <v:shape style="position:absolute;margin-left:574.765198pt;margin-top:393.800629pt;width:13.7pt;height:54.3pt;mso-position-horizontal-relative:page;mso-position-vertical-relative:page;z-index:-17846784" type="#_x0000_t202" filled="false" stroked="false">
            <v:textbox inset="0,0,0,0">
              <w:txbxContent>
                <w:p>
                  <w:pPr>
                    <w:spacing w:line="65" w:lineRule="exact" w:before="0"/>
                    <w:ind w:left="0" w:right="0" w:firstLine="0"/>
                    <w:jc w:val="left"/>
                    <w:rPr>
                      <w:sz w:val="20"/>
                    </w:rPr>
                  </w:pPr>
                  <w:r>
                    <w:rPr>
                      <w:color w:val="FFFFFF"/>
                      <w:sz w:val="20"/>
                    </w:rPr>
                    <w:t>Intr</w:t>
                  </w:r>
                </w:p>
                <w:p>
                  <w:pPr>
                    <w:spacing w:before="28"/>
                    <w:ind w:left="0" w:right="0" w:firstLine="0"/>
                    <w:jc w:val="left"/>
                    <w:rPr>
                      <w:sz w:val="20"/>
                    </w:rPr>
                  </w:pPr>
                  <w:r>
                    <w:rPr>
                      <w:color w:val="FFFFFF"/>
                      <w:sz w:val="20"/>
                    </w:rPr>
                    <w:t>oduction</w:t>
                  </w:r>
                </w:p>
              </w:txbxContent>
            </v:textbox>
            <w10:wrap type="none"/>
          </v:shape>
        </w:pict>
      </w:r>
      <w:r>
        <w:rPr/>
        <w:pict>
          <v:rect style="position:absolute;margin-left:566.929016pt;margin-top:.000015pt;width:28.346pt;height:841.89pt;mso-position-horizontal-relative:page;mso-position-vertical-relative:page;z-index:15730688" filled="true" fillcolor="#3e77a4" stroked="false">
            <v:fill type="solid"/>
            <w10:wrap type="none"/>
          </v:rect>
        </w:pict>
      </w:r>
    </w:p>
    <w:p>
      <w:pPr>
        <w:pStyle w:val="BodyText"/>
        <w:spacing w:before="6"/>
      </w:pPr>
    </w:p>
    <w:p>
      <w:pPr>
        <w:tabs>
          <w:tab w:pos="10138" w:val="right" w:leader="none"/>
        </w:tabs>
        <w:spacing w:before="100"/>
        <w:ind w:left="160" w:right="0" w:firstLine="0"/>
        <w:jc w:val="left"/>
        <w:rPr>
          <w:sz w:val="16"/>
        </w:rPr>
      </w:pPr>
      <w:r>
        <w:rPr>
          <w:color w:val="231F20"/>
          <w:sz w:val="16"/>
        </w:rPr>
        <w:t>Annual Report 2017-18</w:t>
        <w:tab/>
        <w:t>3</w:t>
      </w:r>
    </w:p>
    <w:p>
      <w:pPr>
        <w:pStyle w:val="BodyText"/>
        <w:spacing w:before="2"/>
        <w:rPr>
          <w:sz w:val="79"/>
        </w:rPr>
      </w:pPr>
    </w:p>
    <w:p>
      <w:pPr>
        <w:spacing w:before="0"/>
        <w:ind w:left="160" w:right="0" w:firstLine="0"/>
        <w:jc w:val="left"/>
        <w:rPr>
          <w:rFonts w:ascii="Avenir"/>
          <w:b/>
          <w:sz w:val="60"/>
        </w:rPr>
      </w:pPr>
      <w:r>
        <w:rPr>
          <w:rFonts w:ascii="Avenir"/>
          <w:b/>
          <w:color w:val="3E77A4"/>
          <w:sz w:val="60"/>
        </w:rPr>
        <w:t>Contents</w:t>
      </w:r>
    </w:p>
    <w:p>
      <w:pPr>
        <w:pStyle w:val="BodyText"/>
        <w:rPr>
          <w:rFonts w:ascii="Avenir"/>
          <w:b/>
          <w:sz w:val="23"/>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89"/>
        <w:gridCol w:w="1044"/>
      </w:tblGrid>
      <w:tr>
        <w:trPr>
          <w:trHeight w:val="661" w:hRule="atLeast"/>
        </w:trPr>
        <w:tc>
          <w:tcPr>
            <w:tcW w:w="8989" w:type="dxa"/>
            <w:tcBorders>
              <w:bottom w:val="single" w:sz="18" w:space="0" w:color="FFFFFF"/>
            </w:tcBorders>
            <w:shd w:val="clear" w:color="auto" w:fill="3E77A4"/>
          </w:tcPr>
          <w:p>
            <w:pPr>
              <w:pStyle w:val="TableParagraph"/>
              <w:spacing w:before="137"/>
              <w:ind w:left="267"/>
              <w:rPr>
                <w:rFonts w:ascii="Avenir"/>
                <w:b/>
                <w:sz w:val="28"/>
              </w:rPr>
            </w:pPr>
            <w:r>
              <w:rPr>
                <w:rFonts w:ascii="Avenir"/>
                <w:b/>
                <w:color w:val="FFFFFF"/>
                <w:sz w:val="28"/>
              </w:rPr>
              <w:t>Introduction</w:t>
            </w:r>
          </w:p>
        </w:tc>
        <w:tc>
          <w:tcPr>
            <w:tcW w:w="1044" w:type="dxa"/>
            <w:tcBorders>
              <w:bottom w:val="single" w:sz="18" w:space="0" w:color="FFFFFF"/>
            </w:tcBorders>
            <w:shd w:val="clear" w:color="auto" w:fill="3E77A4"/>
          </w:tcPr>
          <w:p>
            <w:pPr>
              <w:pStyle w:val="TableParagraph"/>
              <w:spacing w:before="137"/>
              <w:ind w:left="318"/>
              <w:rPr>
                <w:rFonts w:ascii="Avenir"/>
                <w:b/>
                <w:sz w:val="28"/>
              </w:rPr>
            </w:pPr>
            <w:r>
              <w:rPr>
                <w:rFonts w:ascii="Avenir"/>
                <w:b/>
                <w:color w:val="FFFFFF"/>
                <w:sz w:val="28"/>
              </w:rPr>
              <w:t>5</w:t>
            </w:r>
          </w:p>
        </w:tc>
      </w:tr>
      <w:tr>
        <w:trPr>
          <w:trHeight w:val="10145" w:hRule="atLeast"/>
        </w:trPr>
        <w:tc>
          <w:tcPr>
            <w:tcW w:w="8989" w:type="dxa"/>
            <w:tcBorders>
              <w:top w:val="single" w:sz="18" w:space="0" w:color="FFFFFF"/>
              <w:bottom w:val="single" w:sz="18" w:space="0" w:color="FFFFFF"/>
            </w:tcBorders>
            <w:shd w:val="clear" w:color="auto" w:fill="3B957D"/>
          </w:tcPr>
          <w:p>
            <w:pPr>
              <w:pStyle w:val="TableParagraph"/>
              <w:spacing w:line="213" w:lineRule="auto" w:before="217"/>
              <w:ind w:left="607" w:right="382" w:hanging="340"/>
              <w:rPr>
                <w:rFonts w:ascii="Avenir"/>
                <w:b/>
                <w:sz w:val="28"/>
              </w:rPr>
            </w:pPr>
            <w:r>
              <w:rPr>
                <w:rFonts w:ascii="Avenir"/>
                <w:b/>
                <w:color w:val="FFFFFF"/>
                <w:sz w:val="28"/>
              </w:rPr>
              <w:t>1. Reporting on the Adequacy and Effectiveness of Arrangements to Safeguard Children and Adults in Wales</w:t>
            </w:r>
          </w:p>
          <w:p>
            <w:pPr>
              <w:pStyle w:val="TableParagraph"/>
              <w:spacing w:before="209"/>
              <w:ind w:left="607"/>
              <w:rPr>
                <w:sz w:val="22"/>
              </w:rPr>
            </w:pPr>
            <w:r>
              <w:rPr>
                <w:color w:val="FFFFFF"/>
                <w:sz w:val="22"/>
              </w:rPr>
              <w:t>Membership of the Safeguarding Boards</w:t>
            </w:r>
          </w:p>
          <w:p>
            <w:pPr>
              <w:pStyle w:val="TableParagraph"/>
              <w:spacing w:before="82"/>
              <w:ind w:left="607"/>
              <w:rPr>
                <w:sz w:val="22"/>
              </w:rPr>
            </w:pPr>
            <w:r>
              <w:rPr>
                <w:color w:val="FFFFFF"/>
                <w:sz w:val="22"/>
              </w:rPr>
              <w:t>Actions the Boards have taken to achieve particular outcomes</w:t>
            </w:r>
          </w:p>
          <w:p>
            <w:pPr>
              <w:pStyle w:val="TableParagraph"/>
              <w:spacing w:line="276" w:lineRule="exact" w:before="82"/>
              <w:ind w:left="607"/>
              <w:rPr>
                <w:sz w:val="22"/>
              </w:rPr>
            </w:pPr>
            <w:r>
              <w:rPr>
                <w:color w:val="FFFFFF"/>
                <w:sz w:val="22"/>
              </w:rPr>
              <w:t>The extent to which the Safeguarding Boards have implemented their most</w:t>
            </w:r>
          </w:p>
          <w:p>
            <w:pPr>
              <w:pStyle w:val="TableParagraph"/>
              <w:spacing w:line="260" w:lineRule="exact"/>
              <w:ind w:left="607"/>
              <w:rPr>
                <w:sz w:val="22"/>
              </w:rPr>
            </w:pPr>
            <w:r>
              <w:rPr>
                <w:color w:val="FFFFFF"/>
                <w:sz w:val="22"/>
              </w:rPr>
              <w:t>recent annual plan with particulars of how far any specific proposed improvements</w:t>
            </w:r>
          </w:p>
          <w:p>
            <w:pPr>
              <w:pStyle w:val="TableParagraph"/>
              <w:spacing w:line="276" w:lineRule="exact"/>
              <w:ind w:left="607"/>
              <w:rPr>
                <w:sz w:val="22"/>
              </w:rPr>
            </w:pPr>
            <w:r>
              <w:rPr>
                <w:color w:val="FFFFFF"/>
                <w:sz w:val="22"/>
              </w:rPr>
              <w:t>were implemented</w:t>
            </w:r>
          </w:p>
          <w:p>
            <w:pPr>
              <w:pStyle w:val="TableParagraph"/>
              <w:spacing w:before="81"/>
              <w:ind w:left="607"/>
              <w:rPr>
                <w:sz w:val="22"/>
              </w:rPr>
            </w:pPr>
            <w:r>
              <w:rPr>
                <w:color w:val="FFFFFF"/>
                <w:sz w:val="22"/>
              </w:rPr>
              <w:t>So what happened?</w:t>
            </w:r>
          </w:p>
          <w:p>
            <w:pPr>
              <w:pStyle w:val="TableParagraph"/>
              <w:spacing w:line="213" w:lineRule="auto" w:before="107"/>
              <w:ind w:left="607" w:right="1512"/>
              <w:rPr>
                <w:sz w:val="22"/>
              </w:rPr>
            </w:pPr>
            <w:r>
              <w:rPr>
                <w:color w:val="FFFFFF"/>
                <w:sz w:val="22"/>
              </w:rPr>
              <w:t>How the Safeguarding Boards have collaborated in activities relating to their objectives</w:t>
            </w:r>
          </w:p>
          <w:p>
            <w:pPr>
              <w:pStyle w:val="TableParagraph"/>
              <w:spacing w:line="276" w:lineRule="exact" w:before="90"/>
              <w:ind w:left="607"/>
              <w:rPr>
                <w:sz w:val="22"/>
              </w:rPr>
            </w:pPr>
            <w:r>
              <w:rPr>
                <w:color w:val="FFFFFF"/>
                <w:sz w:val="22"/>
              </w:rPr>
              <w:t>Requests the Regional Safeguarding Boards have made under S.137(1)</w:t>
            </w:r>
          </w:p>
          <w:p>
            <w:pPr>
              <w:pStyle w:val="TableParagraph"/>
              <w:spacing w:line="276" w:lineRule="exact"/>
              <w:ind w:left="607"/>
              <w:rPr>
                <w:sz w:val="22"/>
              </w:rPr>
            </w:pPr>
            <w:r>
              <w:rPr>
                <w:color w:val="FFFFFF"/>
                <w:sz w:val="22"/>
              </w:rPr>
              <w:t>for specified information</w:t>
            </w:r>
          </w:p>
          <w:p>
            <w:pPr>
              <w:pStyle w:val="TableParagraph"/>
              <w:spacing w:before="82"/>
              <w:ind w:left="607"/>
              <w:rPr>
                <w:sz w:val="22"/>
              </w:rPr>
            </w:pPr>
            <w:r>
              <w:rPr>
                <w:color w:val="FFFFFF"/>
                <w:sz w:val="22"/>
              </w:rPr>
              <w:t>Achievements the Safeguarding Boards made during the year</w:t>
            </w:r>
          </w:p>
          <w:p>
            <w:pPr>
              <w:pStyle w:val="TableParagraph"/>
              <w:spacing w:line="213" w:lineRule="auto" w:before="106"/>
              <w:ind w:left="607" w:right="1512"/>
              <w:rPr>
                <w:sz w:val="22"/>
              </w:rPr>
            </w:pPr>
            <w:r>
              <w:rPr>
                <w:color w:val="FFFFFF"/>
                <w:sz w:val="22"/>
              </w:rPr>
              <w:t>The extent to which Safeguarding Board members contributed to the Boards’ effectiveness</w:t>
            </w:r>
          </w:p>
          <w:p>
            <w:pPr>
              <w:pStyle w:val="TableParagraph"/>
              <w:spacing w:line="213" w:lineRule="auto" w:before="114"/>
              <w:ind w:left="607" w:right="1512"/>
              <w:rPr>
                <w:sz w:val="22"/>
              </w:rPr>
            </w:pPr>
            <w:r>
              <w:rPr>
                <w:color w:val="FFFFFF"/>
                <w:sz w:val="22"/>
              </w:rPr>
              <w:t>An assessment of how the Safeguarding Boards used their resources in exercising its functions or achieving its outcomes</w:t>
            </w:r>
          </w:p>
          <w:p>
            <w:pPr>
              <w:pStyle w:val="TableParagraph"/>
              <w:spacing w:line="213" w:lineRule="auto" w:before="115"/>
              <w:ind w:left="607" w:right="1332"/>
              <w:rPr>
                <w:sz w:val="22"/>
              </w:rPr>
            </w:pPr>
            <w:r>
              <w:rPr>
                <w:color w:val="FFFFFF"/>
                <w:sz w:val="22"/>
              </w:rPr>
              <w:t>Underlying themes in the way the Safeguarding Boards exercised their functions as shown by an analysis of cases dealt with and any changes it</w:t>
            </w:r>
          </w:p>
          <w:p>
            <w:pPr>
              <w:pStyle w:val="TableParagraph"/>
              <w:spacing w:before="90"/>
              <w:ind w:left="607"/>
              <w:rPr>
                <w:sz w:val="22"/>
              </w:rPr>
            </w:pPr>
            <w:r>
              <w:rPr>
                <w:color w:val="FFFFFF"/>
                <w:sz w:val="22"/>
              </w:rPr>
              <w:t>has put into practice</w:t>
            </w:r>
          </w:p>
          <w:p>
            <w:pPr>
              <w:pStyle w:val="TableParagraph"/>
              <w:spacing w:line="213" w:lineRule="auto" w:before="106"/>
              <w:ind w:left="607"/>
              <w:rPr>
                <w:sz w:val="22"/>
              </w:rPr>
            </w:pPr>
            <w:r>
              <w:rPr>
                <w:color w:val="FFFFFF"/>
                <w:sz w:val="22"/>
              </w:rPr>
              <w:t>When and how children or adults exercised an opportunity to participate in the Boards’ work and how this contributed to the Boards achieving their outcomes</w:t>
            </w:r>
          </w:p>
          <w:p>
            <w:pPr>
              <w:pStyle w:val="TableParagraph"/>
              <w:spacing w:line="213" w:lineRule="auto" w:before="115"/>
              <w:ind w:left="607" w:right="382"/>
              <w:rPr>
                <w:sz w:val="22"/>
              </w:rPr>
            </w:pPr>
            <w:r>
              <w:rPr>
                <w:color w:val="FFFFFF"/>
                <w:sz w:val="22"/>
              </w:rPr>
              <w:t>The number of Adult Protection and Support Orders (APSO) which were applied for in the Safeguarding Boards’ areas and how effective they were</w:t>
            </w:r>
          </w:p>
          <w:p>
            <w:pPr>
              <w:pStyle w:val="TableParagraph"/>
              <w:spacing w:line="213" w:lineRule="auto" w:before="114"/>
              <w:ind w:left="607" w:right="1024"/>
              <w:rPr>
                <w:sz w:val="22"/>
              </w:rPr>
            </w:pPr>
            <w:r>
              <w:rPr>
                <w:color w:val="FFFFFF"/>
                <w:sz w:val="22"/>
              </w:rPr>
              <w:t>Any information or learning the Safeguarding Boards have disseminated or training they have recommended or provided</w:t>
            </w:r>
          </w:p>
          <w:p>
            <w:pPr>
              <w:pStyle w:val="TableParagraph"/>
              <w:spacing w:line="213" w:lineRule="auto" w:before="115"/>
              <w:ind w:left="607" w:right="382"/>
              <w:rPr>
                <w:sz w:val="22"/>
              </w:rPr>
            </w:pPr>
            <w:r>
              <w:rPr>
                <w:color w:val="FFFFFF"/>
                <w:sz w:val="22"/>
              </w:rPr>
              <w:t>How the Safeguarding Boards have implemented any guidance or advice given by the Welsh Government or the National Board</w:t>
            </w:r>
          </w:p>
          <w:p>
            <w:pPr>
              <w:pStyle w:val="TableParagraph"/>
              <w:spacing w:before="90"/>
              <w:ind w:left="607"/>
              <w:rPr>
                <w:sz w:val="22"/>
              </w:rPr>
            </w:pPr>
            <w:r>
              <w:rPr>
                <w:color w:val="FFFFFF"/>
                <w:sz w:val="22"/>
              </w:rPr>
              <w:t>Other matters relevant to the work of the Safeguarding Boards</w:t>
            </w:r>
          </w:p>
        </w:tc>
        <w:tc>
          <w:tcPr>
            <w:tcW w:w="1044" w:type="dxa"/>
            <w:tcBorders>
              <w:top w:val="single" w:sz="18" w:space="0" w:color="FFFFFF"/>
              <w:bottom w:val="single" w:sz="18" w:space="0" w:color="FFFFFF"/>
            </w:tcBorders>
            <w:shd w:val="clear" w:color="auto" w:fill="3B957D"/>
          </w:tcPr>
          <w:p>
            <w:pPr>
              <w:pStyle w:val="TableParagraph"/>
              <w:spacing w:before="7"/>
              <w:rPr>
                <w:rFonts w:ascii="Avenir"/>
                <w:b/>
                <w:sz w:val="38"/>
              </w:rPr>
            </w:pPr>
          </w:p>
          <w:p>
            <w:pPr>
              <w:pStyle w:val="TableParagraph"/>
              <w:spacing w:before="1"/>
              <w:ind w:left="318"/>
              <w:rPr>
                <w:rFonts w:ascii="Avenir"/>
                <w:b/>
                <w:sz w:val="28"/>
              </w:rPr>
            </w:pPr>
            <w:r>
              <w:rPr>
                <w:rFonts w:ascii="Avenir"/>
                <w:b/>
                <w:color w:val="FFFFFF"/>
                <w:sz w:val="28"/>
              </w:rPr>
              <w:t>6</w:t>
            </w:r>
          </w:p>
          <w:p>
            <w:pPr>
              <w:pStyle w:val="TableParagraph"/>
              <w:spacing w:before="197"/>
              <w:ind w:left="318"/>
              <w:rPr>
                <w:sz w:val="22"/>
              </w:rPr>
            </w:pPr>
            <w:r>
              <w:rPr>
                <w:color w:val="FFFFFF"/>
                <w:sz w:val="22"/>
              </w:rPr>
              <w:t>6</w:t>
            </w:r>
          </w:p>
          <w:p>
            <w:pPr>
              <w:pStyle w:val="TableParagraph"/>
              <w:spacing w:before="82"/>
              <w:ind w:left="318"/>
              <w:rPr>
                <w:sz w:val="22"/>
              </w:rPr>
            </w:pPr>
            <w:r>
              <w:rPr>
                <w:color w:val="FFFFFF"/>
                <w:sz w:val="22"/>
              </w:rPr>
              <w:t>8</w:t>
            </w:r>
          </w:p>
          <w:p>
            <w:pPr>
              <w:pStyle w:val="TableParagraph"/>
              <w:spacing w:before="1"/>
              <w:rPr>
                <w:rFonts w:ascii="Avenir"/>
                <w:b/>
                <w:sz w:val="44"/>
              </w:rPr>
            </w:pPr>
          </w:p>
          <w:p>
            <w:pPr>
              <w:pStyle w:val="TableParagraph"/>
              <w:ind w:left="318"/>
              <w:rPr>
                <w:sz w:val="22"/>
              </w:rPr>
            </w:pPr>
            <w:r>
              <w:rPr>
                <w:color w:val="FFFFFF"/>
                <w:sz w:val="22"/>
              </w:rPr>
              <w:t>10</w:t>
            </w:r>
          </w:p>
          <w:p>
            <w:pPr>
              <w:pStyle w:val="TableParagraph"/>
              <w:spacing w:before="82"/>
              <w:ind w:left="318"/>
              <w:rPr>
                <w:sz w:val="22"/>
              </w:rPr>
            </w:pPr>
            <w:r>
              <w:rPr>
                <w:color w:val="FFFFFF"/>
                <w:sz w:val="22"/>
              </w:rPr>
              <w:t>12</w:t>
            </w:r>
          </w:p>
          <w:p>
            <w:pPr>
              <w:pStyle w:val="TableParagraph"/>
              <w:rPr>
                <w:rFonts w:ascii="Avenir"/>
                <w:b/>
                <w:sz w:val="25"/>
              </w:rPr>
            </w:pPr>
          </w:p>
          <w:p>
            <w:pPr>
              <w:pStyle w:val="TableParagraph"/>
              <w:ind w:left="318"/>
              <w:rPr>
                <w:sz w:val="22"/>
              </w:rPr>
            </w:pPr>
            <w:r>
              <w:rPr>
                <w:color w:val="FFFFFF"/>
                <w:sz w:val="22"/>
              </w:rPr>
              <w:t>19</w:t>
            </w:r>
          </w:p>
          <w:p>
            <w:pPr>
              <w:pStyle w:val="TableParagraph"/>
              <w:rPr>
                <w:rFonts w:ascii="Avenir"/>
                <w:b/>
                <w:sz w:val="25"/>
              </w:rPr>
            </w:pPr>
          </w:p>
          <w:p>
            <w:pPr>
              <w:pStyle w:val="TableParagraph"/>
              <w:ind w:left="318"/>
              <w:rPr>
                <w:sz w:val="22"/>
              </w:rPr>
            </w:pPr>
            <w:r>
              <w:rPr>
                <w:color w:val="FFFFFF"/>
                <w:sz w:val="22"/>
              </w:rPr>
              <w:t>22</w:t>
            </w:r>
          </w:p>
          <w:p>
            <w:pPr>
              <w:pStyle w:val="TableParagraph"/>
              <w:spacing w:before="82"/>
              <w:ind w:left="318"/>
              <w:rPr>
                <w:sz w:val="22"/>
              </w:rPr>
            </w:pPr>
            <w:r>
              <w:rPr>
                <w:color w:val="FFFFFF"/>
                <w:sz w:val="22"/>
              </w:rPr>
              <w:t>23</w:t>
            </w:r>
          </w:p>
          <w:p>
            <w:pPr>
              <w:pStyle w:val="TableParagraph"/>
              <w:spacing w:before="1"/>
              <w:rPr>
                <w:rFonts w:ascii="Avenir"/>
                <w:b/>
                <w:sz w:val="25"/>
              </w:rPr>
            </w:pPr>
          </w:p>
          <w:p>
            <w:pPr>
              <w:pStyle w:val="TableParagraph"/>
              <w:ind w:left="318"/>
              <w:rPr>
                <w:sz w:val="22"/>
              </w:rPr>
            </w:pPr>
            <w:r>
              <w:rPr>
                <w:color w:val="FFFFFF"/>
                <w:sz w:val="22"/>
              </w:rPr>
              <w:t>30</w:t>
            </w:r>
          </w:p>
          <w:p>
            <w:pPr>
              <w:pStyle w:val="TableParagraph"/>
              <w:rPr>
                <w:rFonts w:ascii="Avenir"/>
                <w:b/>
                <w:sz w:val="25"/>
              </w:rPr>
            </w:pPr>
          </w:p>
          <w:p>
            <w:pPr>
              <w:pStyle w:val="TableParagraph"/>
              <w:ind w:left="318"/>
              <w:rPr>
                <w:sz w:val="22"/>
              </w:rPr>
            </w:pPr>
            <w:r>
              <w:rPr>
                <w:color w:val="FFFFFF"/>
                <w:sz w:val="22"/>
              </w:rPr>
              <w:t>34</w:t>
            </w:r>
          </w:p>
          <w:p>
            <w:pPr>
              <w:pStyle w:val="TableParagraph"/>
              <w:rPr>
                <w:rFonts w:ascii="Avenir"/>
                <w:b/>
                <w:sz w:val="30"/>
              </w:rPr>
            </w:pPr>
          </w:p>
          <w:p>
            <w:pPr>
              <w:pStyle w:val="TableParagraph"/>
              <w:spacing w:before="5"/>
              <w:rPr>
                <w:rFonts w:ascii="Avenir"/>
                <w:b/>
                <w:sz w:val="22"/>
              </w:rPr>
            </w:pPr>
          </w:p>
          <w:p>
            <w:pPr>
              <w:pStyle w:val="TableParagraph"/>
              <w:ind w:left="318"/>
              <w:rPr>
                <w:sz w:val="22"/>
              </w:rPr>
            </w:pPr>
            <w:r>
              <w:rPr>
                <w:color w:val="FFFFFF"/>
                <w:sz w:val="22"/>
              </w:rPr>
              <w:t>36</w:t>
            </w:r>
          </w:p>
          <w:p>
            <w:pPr>
              <w:pStyle w:val="TableParagraph"/>
              <w:rPr>
                <w:rFonts w:ascii="Avenir"/>
                <w:b/>
                <w:sz w:val="25"/>
              </w:rPr>
            </w:pPr>
          </w:p>
          <w:p>
            <w:pPr>
              <w:pStyle w:val="TableParagraph"/>
              <w:ind w:left="318"/>
              <w:rPr>
                <w:sz w:val="22"/>
              </w:rPr>
            </w:pPr>
            <w:r>
              <w:rPr>
                <w:color w:val="FFFFFF"/>
                <w:sz w:val="22"/>
              </w:rPr>
              <w:t>39</w:t>
            </w:r>
          </w:p>
          <w:p>
            <w:pPr>
              <w:pStyle w:val="TableParagraph"/>
              <w:spacing w:before="1"/>
              <w:rPr>
                <w:rFonts w:ascii="Avenir"/>
                <w:b/>
                <w:sz w:val="25"/>
              </w:rPr>
            </w:pPr>
          </w:p>
          <w:p>
            <w:pPr>
              <w:pStyle w:val="TableParagraph"/>
              <w:ind w:left="318"/>
              <w:rPr>
                <w:sz w:val="22"/>
              </w:rPr>
            </w:pPr>
            <w:r>
              <w:rPr>
                <w:color w:val="FFFFFF"/>
                <w:sz w:val="22"/>
              </w:rPr>
              <w:t>43</w:t>
            </w:r>
          </w:p>
          <w:p>
            <w:pPr>
              <w:pStyle w:val="TableParagraph"/>
              <w:rPr>
                <w:rFonts w:ascii="Avenir"/>
                <w:b/>
                <w:sz w:val="25"/>
              </w:rPr>
            </w:pPr>
          </w:p>
          <w:p>
            <w:pPr>
              <w:pStyle w:val="TableParagraph"/>
              <w:ind w:left="318"/>
              <w:rPr>
                <w:sz w:val="22"/>
              </w:rPr>
            </w:pPr>
            <w:r>
              <w:rPr>
                <w:color w:val="FFFFFF"/>
                <w:sz w:val="22"/>
              </w:rPr>
              <w:t>44</w:t>
            </w:r>
          </w:p>
          <w:p>
            <w:pPr>
              <w:pStyle w:val="TableParagraph"/>
              <w:rPr>
                <w:rFonts w:ascii="Avenir"/>
                <w:b/>
                <w:sz w:val="25"/>
              </w:rPr>
            </w:pPr>
          </w:p>
          <w:p>
            <w:pPr>
              <w:pStyle w:val="TableParagraph"/>
              <w:spacing w:before="1"/>
              <w:ind w:left="318"/>
              <w:rPr>
                <w:sz w:val="22"/>
              </w:rPr>
            </w:pPr>
            <w:r>
              <w:rPr>
                <w:color w:val="FFFFFF"/>
                <w:sz w:val="22"/>
              </w:rPr>
              <w:t>47</w:t>
            </w:r>
          </w:p>
          <w:p>
            <w:pPr>
              <w:pStyle w:val="TableParagraph"/>
              <w:spacing w:before="81"/>
              <w:ind w:left="318"/>
              <w:rPr>
                <w:sz w:val="22"/>
              </w:rPr>
            </w:pPr>
            <w:r>
              <w:rPr>
                <w:color w:val="FFFFFF"/>
                <w:sz w:val="22"/>
              </w:rPr>
              <w:t>48</w:t>
            </w:r>
          </w:p>
        </w:tc>
      </w:tr>
      <w:tr>
        <w:trPr>
          <w:trHeight w:val="1069" w:hRule="atLeast"/>
        </w:trPr>
        <w:tc>
          <w:tcPr>
            <w:tcW w:w="8989" w:type="dxa"/>
            <w:tcBorders>
              <w:top w:val="single" w:sz="18" w:space="0" w:color="FFFFFF"/>
              <w:bottom w:val="single" w:sz="18" w:space="0" w:color="FFFFFF"/>
            </w:tcBorders>
            <w:shd w:val="clear" w:color="auto" w:fill="D5583B"/>
          </w:tcPr>
          <w:p>
            <w:pPr>
              <w:pStyle w:val="TableParagraph"/>
              <w:spacing w:line="213" w:lineRule="auto" w:before="181"/>
              <w:ind w:left="607" w:hanging="340"/>
              <w:rPr>
                <w:rFonts w:ascii="Avenir" w:hAnsi="Avenir"/>
                <w:b/>
                <w:sz w:val="28"/>
              </w:rPr>
            </w:pPr>
            <w:r>
              <w:rPr>
                <w:rFonts w:ascii="Avenir" w:hAnsi="Avenir"/>
                <w:b/>
                <w:color w:val="FFFFFF"/>
                <w:sz w:val="28"/>
              </w:rPr>
              <w:t>2. The National Board’s support and advice to Safeguarding Boards with a view to ensuring that they are effective</w:t>
            </w:r>
          </w:p>
        </w:tc>
        <w:tc>
          <w:tcPr>
            <w:tcW w:w="1044" w:type="dxa"/>
            <w:tcBorders>
              <w:top w:val="single" w:sz="18" w:space="0" w:color="FFFFFF"/>
              <w:bottom w:val="single" w:sz="18" w:space="0" w:color="FFFFFF"/>
            </w:tcBorders>
            <w:shd w:val="clear" w:color="auto" w:fill="D5583B"/>
          </w:tcPr>
          <w:p>
            <w:pPr>
              <w:pStyle w:val="TableParagraph"/>
              <w:spacing w:before="12"/>
              <w:rPr>
                <w:rFonts w:ascii="Avenir"/>
                <w:b/>
                <w:sz w:val="35"/>
              </w:rPr>
            </w:pPr>
          </w:p>
          <w:p>
            <w:pPr>
              <w:pStyle w:val="TableParagraph"/>
              <w:ind w:left="318"/>
              <w:rPr>
                <w:rFonts w:ascii="Avenir"/>
                <w:b/>
                <w:sz w:val="28"/>
              </w:rPr>
            </w:pPr>
            <w:r>
              <w:rPr>
                <w:rFonts w:ascii="Avenir"/>
                <w:b/>
                <w:color w:val="FFFFFF"/>
                <w:sz w:val="28"/>
              </w:rPr>
              <w:t>51</w:t>
            </w:r>
          </w:p>
        </w:tc>
      </w:tr>
      <w:tr>
        <w:trPr>
          <w:trHeight w:val="1070" w:hRule="atLeast"/>
        </w:trPr>
        <w:tc>
          <w:tcPr>
            <w:tcW w:w="8989" w:type="dxa"/>
            <w:tcBorders>
              <w:top w:val="single" w:sz="18" w:space="0" w:color="FFFFFF"/>
            </w:tcBorders>
            <w:shd w:val="clear" w:color="auto" w:fill="F99D2C"/>
          </w:tcPr>
          <w:p>
            <w:pPr>
              <w:pStyle w:val="TableParagraph"/>
              <w:spacing w:line="213" w:lineRule="auto" w:before="181"/>
              <w:ind w:left="607" w:hanging="340"/>
              <w:rPr>
                <w:rFonts w:ascii="Avenir"/>
                <w:b/>
                <w:sz w:val="28"/>
              </w:rPr>
            </w:pPr>
            <w:r>
              <w:rPr>
                <w:rFonts w:ascii="Avenir"/>
                <w:b/>
                <w:color w:val="FFFFFF"/>
                <w:sz w:val="28"/>
              </w:rPr>
              <w:t>3. Making recommendations to the Welsh Ministers as to how these arrangements could be improved</w:t>
            </w:r>
          </w:p>
        </w:tc>
        <w:tc>
          <w:tcPr>
            <w:tcW w:w="1044" w:type="dxa"/>
            <w:tcBorders>
              <w:top w:val="single" w:sz="18" w:space="0" w:color="FFFFFF"/>
            </w:tcBorders>
            <w:shd w:val="clear" w:color="auto" w:fill="F99D2C"/>
          </w:tcPr>
          <w:p>
            <w:pPr>
              <w:pStyle w:val="TableParagraph"/>
              <w:spacing w:before="12"/>
              <w:rPr>
                <w:rFonts w:ascii="Avenir"/>
                <w:b/>
                <w:sz w:val="35"/>
              </w:rPr>
            </w:pPr>
          </w:p>
          <w:p>
            <w:pPr>
              <w:pStyle w:val="TableParagraph"/>
              <w:ind w:left="318"/>
              <w:rPr>
                <w:rFonts w:ascii="Avenir"/>
                <w:b/>
                <w:sz w:val="28"/>
              </w:rPr>
            </w:pPr>
            <w:r>
              <w:rPr>
                <w:rFonts w:ascii="Avenir"/>
                <w:b/>
                <w:color w:val="FFFFFF"/>
                <w:sz w:val="28"/>
              </w:rPr>
              <w:t>56</w:t>
            </w:r>
          </w:p>
        </w:tc>
      </w:tr>
    </w:tbl>
    <w:p>
      <w:pPr>
        <w:spacing w:after="0"/>
        <w:rPr>
          <w:rFonts w:ascii="Avenir"/>
          <w:sz w:val="28"/>
        </w:rPr>
        <w:sectPr>
          <w:pgSz w:w="11910" w:h="16840"/>
          <w:pgMar w:top="0" w:bottom="0" w:left="520" w:right="520"/>
        </w:sectPr>
      </w:pPr>
    </w:p>
    <w:p>
      <w:pPr>
        <w:pStyle w:val="BodyText"/>
        <w:rPr>
          <w:rFonts w:ascii="Avenir"/>
          <w:b/>
          <w:sz w:val="20"/>
        </w:rPr>
      </w:pPr>
      <w:r>
        <w:rPr/>
        <w:pict>
          <v:rect style="position:absolute;margin-left:0pt;margin-top:0pt;width:28.346pt;height:841.890015pt;mso-position-horizontal-relative:page;mso-position-vertical-relative:page;z-index:-17845760" filled="true" fillcolor="#3e77a4" stroked="false">
            <v:fill type="solid"/>
            <w10:wrap type="none"/>
          </v:rect>
        </w:pict>
      </w:r>
    </w:p>
    <w:p>
      <w:pPr>
        <w:pStyle w:val="BodyText"/>
        <w:spacing w:before="2"/>
        <w:rPr>
          <w:rFonts w:ascii="Avenir"/>
          <w:b/>
          <w:sz w:val="21"/>
        </w:rPr>
      </w:pPr>
    </w:p>
    <w:p>
      <w:pPr>
        <w:tabs>
          <w:tab w:pos="7198" w:val="left" w:leader="none"/>
        </w:tabs>
        <w:spacing w:before="100"/>
        <w:ind w:left="727" w:right="0" w:firstLine="0"/>
        <w:jc w:val="left"/>
        <w:rPr>
          <w:sz w:val="16"/>
        </w:rPr>
      </w:pPr>
      <w:r>
        <w:rPr>
          <w:color w:val="231F20"/>
          <w:sz w:val="16"/>
        </w:rPr>
        <w:t>4</w:t>
        <w:tab/>
        <w:t>National Independent Safeguarding Board</w:t>
      </w:r>
      <w:r>
        <w:rPr>
          <w:color w:val="231F20"/>
          <w:spacing w:val="-7"/>
          <w:sz w:val="16"/>
        </w:rPr>
        <w:t> </w:t>
      </w:r>
      <w:r>
        <w:rPr>
          <w:color w:val="231F20"/>
          <w:sz w:val="16"/>
        </w:rPr>
        <w:t>Wales</w:t>
      </w:r>
    </w:p>
    <w:p>
      <w:pPr>
        <w:spacing w:after="0"/>
        <w:jc w:val="left"/>
        <w:rPr>
          <w:sz w:val="16"/>
        </w:rPr>
        <w:sectPr>
          <w:pgSz w:w="11910" w:h="16840"/>
          <w:pgMar w:top="0" w:bottom="0" w:left="520" w:right="520"/>
        </w:sectPr>
      </w:pPr>
    </w:p>
    <w:p>
      <w:pPr>
        <w:pStyle w:val="BodyText"/>
        <w:rPr>
          <w:sz w:val="20"/>
        </w:rPr>
      </w:pPr>
      <w:r>
        <w:rPr/>
        <w:pict>
          <v:rect style="position:absolute;margin-left:566.929016pt;margin-top:0pt;width:28.347001pt;height:841.890015pt;mso-position-horizontal-relative:page;mso-position-vertical-relative:page;z-index:15731712" filled="true" fillcolor="#3e77a4" stroked="false">
            <v:fill type="solid"/>
            <w10:wrap type="none"/>
          </v:rect>
        </w:pict>
      </w:r>
      <w:r>
        <w:rPr/>
        <w:pict>
          <v:group style="position:absolute;margin-left:32.661999pt;margin-top:80.913017pt;width:512.7pt;height:738.1pt;mso-position-horizontal-relative:page;mso-position-vertical-relative:page;z-index:-17844736" coordorigin="653,1618" coordsize="10254,14762">
            <v:rect style="position:absolute;left:683;top:1648;width:10224;height:14732" filled="true" fillcolor="#231f20" stroked="false">
              <v:fill opacity="49152f" type="solid"/>
            </v:rect>
            <v:rect style="position:absolute;left:655;top:1620;width:10003;height:14509" filled="true" fillcolor="#fdfaf0" stroked="false">
              <v:fill type="solid"/>
            </v:rect>
            <v:rect style="position:absolute;left:655;top:1620;width:10003;height:14509" filled="false" stroked="true" strokeweight=".25pt" strokecolor="#231f20">
              <v:stroke dashstyle="solid"/>
            </v:rect>
            <v:shape style="position:absolute;left:1505;top:2874;width:226;height:622" type="#_x0000_t75" stroked="false">
              <v:imagedata r:id="rId9" o:title=""/>
            </v:shape>
            <v:shape style="position:absolute;left:867;top:1998;width:1502;height:1282" type="#_x0000_t75" stroked="false">
              <v:imagedata r:id="rId10" o:title=""/>
            </v:shape>
            <v:rect style="position:absolute;left:2586;top:2727;width:3069;height:26" filled="true" fillcolor="#3b957d" stroked="false">
              <v:fill type="solid"/>
            </v:rect>
            <v:shape style="position:absolute;left:2575;top:2119;width:3078;height:498" type="#_x0000_t75" stroked="false">
              <v:imagedata r:id="rId11" o:title=""/>
            </v:shape>
            <v:shape style="position:absolute;left:2588;top:2880;width:2927;height:501" type="#_x0000_t75" stroked="false">
              <v:imagedata r:id="rId12" o:title=""/>
            </v:shape>
            <v:rect style="position:absolute;left:5537;top:2883;width:35;height:170" filled="true" fillcolor="#3b957d" stroked="false">
              <v:fill type="solid"/>
            </v:rect>
            <w10:wrap type="none"/>
          </v:group>
        </w:pict>
      </w:r>
      <w:r>
        <w:rPr/>
        <w:pict>
          <v:shape style="position:absolute;margin-left:573.765198pt;margin-top:392.800629pt;width:15.7pt;height:56.3pt;mso-position-horizontal-relative:page;mso-position-vertical-relative:page;z-index:15732736" type="#_x0000_t202" filled="false" stroked="false">
            <v:textbox inset="0,0,0,0" style="layout-flow:vertical">
              <w:txbxContent>
                <w:p>
                  <w:pPr>
                    <w:spacing w:before="20"/>
                    <w:ind w:left="20" w:right="0" w:firstLine="0"/>
                    <w:jc w:val="left"/>
                    <w:rPr>
                      <w:sz w:val="20"/>
                    </w:rPr>
                  </w:pPr>
                  <w:r>
                    <w:rPr>
                      <w:color w:val="FFFFFF"/>
                      <w:sz w:val="20"/>
                    </w:rPr>
                    <w:t>Introduction</w:t>
                  </w:r>
                </w:p>
              </w:txbxContent>
            </v:textbox>
            <w10:wrap type="none"/>
          </v:shape>
        </w:pict>
      </w:r>
    </w:p>
    <w:p>
      <w:pPr>
        <w:pStyle w:val="BodyText"/>
        <w:spacing w:before="6"/>
      </w:pPr>
    </w:p>
    <w:p>
      <w:pPr>
        <w:tabs>
          <w:tab w:pos="10138" w:val="right" w:leader="none"/>
        </w:tabs>
        <w:spacing w:before="100"/>
        <w:ind w:left="160" w:right="0" w:firstLine="0"/>
        <w:jc w:val="left"/>
        <w:rPr>
          <w:sz w:val="16"/>
        </w:rPr>
      </w:pPr>
      <w:r>
        <w:rPr>
          <w:color w:val="231F20"/>
          <w:sz w:val="16"/>
        </w:rPr>
        <w:t>Annual Report 2017-18</w:t>
        <w:tab/>
        <w:t>5</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8"/>
        </w:rPr>
      </w:pPr>
    </w:p>
    <w:p>
      <w:pPr>
        <w:spacing w:before="1"/>
        <w:ind w:left="568" w:right="0" w:firstLine="0"/>
        <w:jc w:val="both"/>
        <w:rPr>
          <w:sz w:val="20"/>
        </w:rPr>
      </w:pPr>
      <w:r>
        <w:rPr>
          <w:color w:val="231F20"/>
          <w:sz w:val="20"/>
        </w:rPr>
        <w:t>Dear Reader,</w:t>
      </w:r>
    </w:p>
    <w:p>
      <w:pPr>
        <w:pStyle w:val="BodyText"/>
        <w:spacing w:before="11"/>
        <w:rPr>
          <w:sz w:val="20"/>
        </w:rPr>
      </w:pPr>
    </w:p>
    <w:p>
      <w:pPr>
        <w:spacing w:line="218" w:lineRule="auto" w:before="0"/>
        <w:ind w:left="568" w:right="1337" w:firstLine="0"/>
        <w:jc w:val="both"/>
        <w:rPr>
          <w:sz w:val="20"/>
        </w:rPr>
      </w:pPr>
      <w:r>
        <w:rPr>
          <w:color w:val="231F20"/>
          <w:sz w:val="20"/>
        </w:rPr>
        <w:t>This is a different kind of annual report because it begins and ends with letters. This report marks </w:t>
      </w:r>
      <w:r>
        <w:rPr>
          <w:color w:val="231F20"/>
          <w:spacing w:val="-6"/>
          <w:sz w:val="20"/>
        </w:rPr>
        <w:t>the </w:t>
      </w:r>
      <w:r>
        <w:rPr>
          <w:color w:val="231F20"/>
          <w:sz w:val="20"/>
        </w:rPr>
        <w:t>end of the first National </w:t>
      </w:r>
      <w:r>
        <w:rPr>
          <w:color w:val="231F20"/>
          <w:spacing w:val="-4"/>
          <w:sz w:val="20"/>
        </w:rPr>
        <w:t>Board’s </w:t>
      </w:r>
      <w:r>
        <w:rPr>
          <w:color w:val="231F20"/>
          <w:sz w:val="20"/>
        </w:rPr>
        <w:t>term of office. It is our third annual report. A belief expressed in our first report is unchanged:</w:t>
      </w:r>
    </w:p>
    <w:p>
      <w:pPr>
        <w:pStyle w:val="BodyText"/>
        <w:spacing w:before="8"/>
        <w:rPr>
          <w:sz w:val="21"/>
        </w:rPr>
      </w:pPr>
    </w:p>
    <w:p>
      <w:pPr>
        <w:spacing w:line="211" w:lineRule="auto" w:before="0"/>
        <w:ind w:left="568" w:right="1219" w:firstLine="0"/>
        <w:jc w:val="both"/>
        <w:rPr>
          <w:rFonts w:ascii="Avenir-BlackOblique"/>
          <w:b/>
          <w:i/>
          <w:sz w:val="20"/>
        </w:rPr>
      </w:pPr>
      <w:r>
        <w:rPr>
          <w:rFonts w:ascii="Avenir-BlackOblique"/>
          <w:b/>
          <w:i/>
          <w:color w:val="231F20"/>
          <w:sz w:val="20"/>
        </w:rPr>
        <w:t>The National Board recognises that the requirement to prevent harm is one of the most</w:t>
      </w:r>
      <w:r>
        <w:rPr>
          <w:rFonts w:ascii="Avenir-BlackOblique"/>
          <w:b/>
          <w:i/>
          <w:color w:val="231F20"/>
          <w:spacing w:val="-35"/>
          <w:sz w:val="20"/>
        </w:rPr>
        <w:t> </w:t>
      </w:r>
      <w:r>
        <w:rPr>
          <w:rFonts w:ascii="Avenir-BlackOblique"/>
          <w:b/>
          <w:i/>
          <w:color w:val="231F20"/>
          <w:sz w:val="20"/>
        </w:rPr>
        <w:t>difficult of all human activities.</w:t>
      </w:r>
    </w:p>
    <w:p>
      <w:pPr>
        <w:pStyle w:val="BodyText"/>
        <w:spacing w:before="3"/>
        <w:rPr>
          <w:rFonts w:ascii="Avenir-BlackOblique"/>
          <w:b/>
          <w:i/>
          <w:sz w:val="20"/>
        </w:rPr>
      </w:pPr>
    </w:p>
    <w:p>
      <w:pPr>
        <w:spacing w:line="218" w:lineRule="auto" w:before="0"/>
        <w:ind w:left="568" w:right="1435" w:firstLine="0"/>
        <w:jc w:val="left"/>
        <w:rPr>
          <w:sz w:val="20"/>
        </w:rPr>
      </w:pPr>
      <w:r>
        <w:rPr>
          <w:color w:val="231F20"/>
          <w:sz w:val="20"/>
        </w:rPr>
        <w:t>The harms that children, young people and adults suffer challenge us on many levels because abuse in its many forms may happen anywhere, in our homes - where we should be most safe - and even in services that are regularly inspected. Family homes may struggle to prioritise essential care and nurturing when their strengths are overshadowed by difficulties, when members come and go and where there are lethal combinations of violence, addictions and restrictions for example. Both retrospective and prospective studies of mental health outcomes attest to the risks inherent in the neglect and abuse of children, young people and adults with different kinds of support needs.</w:t>
      </w:r>
    </w:p>
    <w:p>
      <w:pPr>
        <w:pStyle w:val="BodyText"/>
        <w:spacing w:before="10"/>
        <w:rPr>
          <w:sz w:val="20"/>
        </w:rPr>
      </w:pPr>
    </w:p>
    <w:p>
      <w:pPr>
        <w:spacing w:line="218" w:lineRule="auto" w:before="1"/>
        <w:ind w:left="568" w:right="1434" w:firstLine="0"/>
        <w:jc w:val="left"/>
        <w:rPr>
          <w:sz w:val="20"/>
        </w:rPr>
      </w:pPr>
      <w:r>
        <w:rPr>
          <w:color w:val="231F20"/>
          <w:sz w:val="20"/>
        </w:rPr>
        <w:t>The “people approach” of the Social Services and Well-being (Wales) Act 2014 (the SSWB Act), under which social care is integrated over the life course, is a significant means of dealing with such challenges.</w:t>
      </w:r>
    </w:p>
    <w:p>
      <w:pPr>
        <w:pStyle w:val="BodyText"/>
        <w:spacing w:before="1"/>
        <w:rPr>
          <w:sz w:val="21"/>
        </w:rPr>
      </w:pPr>
    </w:p>
    <w:p>
      <w:pPr>
        <w:spacing w:line="218" w:lineRule="auto" w:before="0"/>
        <w:ind w:left="568" w:right="1435" w:firstLine="0"/>
        <w:jc w:val="left"/>
        <w:rPr>
          <w:sz w:val="20"/>
        </w:rPr>
      </w:pPr>
      <w:r>
        <w:rPr>
          <w:color w:val="231F20"/>
          <w:sz w:val="20"/>
        </w:rPr>
        <w:t>In Wales, </w:t>
      </w:r>
      <w:r>
        <w:rPr>
          <w:rFonts w:ascii="Avenir" w:hAnsi="Avenir"/>
          <w:i/>
          <w:color w:val="231F20"/>
          <w:sz w:val="20"/>
        </w:rPr>
        <w:t>harm, </w:t>
      </w:r>
      <w:r>
        <w:rPr>
          <w:color w:val="231F20"/>
          <w:sz w:val="20"/>
        </w:rPr>
        <w:t>which incorporates unintentional actions and acts of omission is “everyone’s responsibility.” This means that all professionals and organisations must do everything they can to ensure that children and adults at risk of abuse are protected from harm.</w:t>
      </w:r>
    </w:p>
    <w:p>
      <w:pPr>
        <w:pStyle w:val="BodyText"/>
        <w:spacing w:before="2"/>
        <w:rPr>
          <w:sz w:val="21"/>
        </w:rPr>
      </w:pPr>
    </w:p>
    <w:p>
      <w:pPr>
        <w:spacing w:line="218" w:lineRule="auto" w:before="0"/>
        <w:ind w:left="568" w:right="530" w:firstLine="0"/>
        <w:jc w:val="left"/>
        <w:rPr>
          <w:sz w:val="20"/>
        </w:rPr>
      </w:pPr>
      <w:r>
        <w:rPr>
          <w:color w:val="231F20"/>
          <w:sz w:val="20"/>
        </w:rPr>
        <w:t>All Regional Boards are attuned to the importance of people receiving services in well-ordered settings, where unsuitable staff have been screened out and induction, supervision and training are prioritised.</w:t>
      </w:r>
    </w:p>
    <w:p>
      <w:pPr>
        <w:spacing w:line="218" w:lineRule="auto" w:before="0"/>
        <w:ind w:left="568" w:right="530" w:firstLine="0"/>
        <w:jc w:val="left"/>
        <w:rPr>
          <w:sz w:val="20"/>
        </w:rPr>
      </w:pPr>
      <w:r>
        <w:rPr>
          <w:color w:val="231F20"/>
          <w:sz w:val="20"/>
        </w:rPr>
        <w:t>They are attuned also to the importance of responding competently to “alerts” - the signs which are suggestive of harm – and making enquiries and taking action to support and protect individuals.</w:t>
      </w:r>
    </w:p>
    <w:p>
      <w:pPr>
        <w:pStyle w:val="BodyText"/>
        <w:spacing w:before="1"/>
        <w:rPr>
          <w:sz w:val="21"/>
        </w:rPr>
      </w:pPr>
    </w:p>
    <w:p>
      <w:pPr>
        <w:spacing w:line="218" w:lineRule="auto" w:before="0"/>
        <w:ind w:left="568" w:right="1093" w:firstLine="0"/>
        <w:jc w:val="left"/>
        <w:rPr>
          <w:sz w:val="20"/>
        </w:rPr>
      </w:pPr>
      <w:r>
        <w:rPr>
          <w:color w:val="231F20"/>
          <w:sz w:val="20"/>
        </w:rPr>
        <w:t>Reporting on the adequacy and effectiveness of arrangements to safeguard children and adults in Wales during 2017-18 requires the National Board to be familiar with Regional Boards’ plans and annual reports. The following section confirms progress since last year and evidences a greater confidence of the Regional Board Chairs to influence practice regionally as well as nationally and an acknowledgement of their own need to work together. We welcome the introduction of meetings between the Chairs and the Welsh Government. We believe that the Chairs taking ownership of their own meetings, unmediated by either the National Board or the Welsh Government, is a positive means of shaping the safeguarding agenda. This is aided by the renewed focus of the Association of the Directors of Social Services’ safeguarding group.</w:t>
      </w:r>
    </w:p>
    <w:p>
      <w:pPr>
        <w:pStyle w:val="BodyText"/>
        <w:spacing w:before="3"/>
        <w:rPr>
          <w:sz w:val="19"/>
        </w:rPr>
      </w:pPr>
    </w:p>
    <w:p>
      <w:pPr>
        <w:spacing w:line="252" w:lineRule="exact" w:before="0"/>
        <w:ind w:left="568" w:right="0" w:firstLine="0"/>
        <w:jc w:val="left"/>
        <w:rPr>
          <w:sz w:val="20"/>
        </w:rPr>
      </w:pPr>
      <w:r>
        <w:rPr>
          <w:color w:val="231F20"/>
          <w:sz w:val="20"/>
        </w:rPr>
        <w:t>Our closing letter is addressed to the Minister. It contains recommendations which arise from our work</w:t>
      </w:r>
    </w:p>
    <w:p>
      <w:pPr>
        <w:spacing w:line="252" w:lineRule="exact" w:before="0"/>
        <w:ind w:left="568" w:right="0" w:firstLine="0"/>
        <w:jc w:val="left"/>
        <w:rPr>
          <w:sz w:val="20"/>
        </w:rPr>
      </w:pPr>
      <w:r>
        <w:rPr>
          <w:color w:val="231F20"/>
          <w:sz w:val="20"/>
        </w:rPr>
        <w:t>across Wales.</w:t>
      </w:r>
    </w:p>
    <w:p>
      <w:pPr>
        <w:pStyle w:val="BodyText"/>
        <w:spacing w:before="7"/>
        <w:rPr>
          <w:sz w:val="19"/>
        </w:rPr>
      </w:pPr>
    </w:p>
    <w:p>
      <w:pPr>
        <w:spacing w:before="0"/>
        <w:ind w:left="568" w:right="0" w:firstLine="0"/>
        <w:jc w:val="left"/>
        <w:rPr>
          <w:sz w:val="20"/>
        </w:rPr>
      </w:pPr>
      <w:r>
        <w:rPr>
          <w:color w:val="231F20"/>
          <w:sz w:val="20"/>
        </w:rPr>
        <w:t>Yours sincerely,</w:t>
      </w:r>
    </w:p>
    <w:p>
      <w:pPr>
        <w:pStyle w:val="BodyText"/>
        <w:spacing w:before="7"/>
      </w:pPr>
    </w:p>
    <w:p>
      <w:pPr>
        <w:spacing w:before="0"/>
        <w:ind w:left="568" w:right="0" w:firstLine="0"/>
        <w:jc w:val="left"/>
        <w:rPr>
          <w:rFonts w:ascii="Avenir"/>
          <w:b/>
          <w:sz w:val="20"/>
        </w:rPr>
      </w:pPr>
      <w:r>
        <w:rPr>
          <w:rFonts w:ascii="Avenir"/>
          <w:b/>
          <w:color w:val="231F20"/>
          <w:sz w:val="20"/>
        </w:rPr>
        <w:t>Margaret Flynn, Keith Towler, Simon Burch, Ruth Henke, Jan Pickles and Rachel Shaw</w:t>
      </w:r>
    </w:p>
    <w:p>
      <w:pPr>
        <w:spacing w:after="0"/>
        <w:jc w:val="left"/>
        <w:rPr>
          <w:rFonts w:ascii="Avenir"/>
          <w:sz w:val="20"/>
        </w:rPr>
        <w:sectPr>
          <w:pgSz w:w="11910" w:h="16840"/>
          <w:pgMar w:top="0" w:bottom="0" w:left="520" w:right="520"/>
        </w:sectPr>
      </w:pPr>
    </w:p>
    <w:p>
      <w:pPr>
        <w:pStyle w:val="BodyText"/>
        <w:rPr>
          <w:rFonts w:ascii="Avenir"/>
          <w:b/>
          <w:sz w:val="20"/>
        </w:rPr>
      </w:pPr>
      <w:r>
        <w:rPr/>
        <w:pict>
          <v:rect style="position:absolute;margin-left:0pt;margin-top:0pt;width:28.346pt;height:841.890015pt;mso-position-horizontal-relative:page;mso-position-vertical-relative:page;z-index:-17843200" filled="true" fillcolor="#3b957d" stroked="false">
            <v:fill type="solid"/>
            <w10:wrap type="none"/>
          </v:rect>
        </w:pict>
      </w:r>
      <w:r>
        <w:rPr/>
        <w:pict>
          <v:shape style="position:absolute;margin-left:7.0315pt;margin-top:182.052505pt;width:15.7pt;height:477.8pt;mso-position-horizontal-relative:page;mso-position-vertical-relative:page;z-index:15734272"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2"/>
        <w:rPr>
          <w:rFonts w:ascii="Avenir"/>
          <w:b/>
          <w:sz w:val="21"/>
        </w:rPr>
      </w:pPr>
    </w:p>
    <w:p>
      <w:pPr>
        <w:tabs>
          <w:tab w:pos="7198" w:val="left" w:leader="none"/>
        </w:tabs>
        <w:spacing w:before="100"/>
        <w:ind w:left="727" w:right="0" w:firstLine="0"/>
        <w:jc w:val="left"/>
        <w:rPr>
          <w:sz w:val="16"/>
        </w:rPr>
      </w:pPr>
      <w:r>
        <w:rPr>
          <w:color w:val="231F20"/>
          <w:sz w:val="16"/>
        </w:rPr>
        <w:t>6</w:t>
        <w:tab/>
        <w:t>National Independent Safeguarding Board</w:t>
      </w:r>
      <w:r>
        <w:rPr>
          <w:color w:val="231F20"/>
          <w:spacing w:val="-7"/>
          <w:sz w:val="16"/>
        </w:rPr>
        <w:t> </w:t>
      </w:r>
      <w:r>
        <w:rPr>
          <w:color w:val="231F20"/>
          <w:sz w:val="16"/>
        </w:rPr>
        <w:t>Wales</w:t>
      </w:r>
    </w:p>
    <w:p>
      <w:pPr>
        <w:pStyle w:val="BodyText"/>
        <w:rPr>
          <w:sz w:val="20"/>
        </w:rPr>
      </w:pPr>
    </w:p>
    <w:p>
      <w:pPr>
        <w:pStyle w:val="BodyText"/>
        <w:rPr>
          <w:sz w:val="20"/>
        </w:rPr>
      </w:pPr>
    </w:p>
    <w:p>
      <w:pPr>
        <w:pStyle w:val="BodyText"/>
        <w:spacing w:before="5"/>
        <w:rPr>
          <w:sz w:val="29"/>
        </w:rPr>
      </w:pPr>
      <w:r>
        <w:rPr/>
        <w:pict>
          <v:group style="position:absolute;margin-left:50.386002pt;margin-top:22.450701pt;width:510.95pt;height:110.6pt;mso-position-horizontal-relative:page;mso-position-vertical-relative:paragraph;z-index:-15724032;mso-wrap-distance-left:0;mso-wrap-distance-right:0" coordorigin="1008,449" coordsize="10219,2212">
            <v:rect style="position:absolute;left:1007;top:534;width:10219;height:1985" filled="true" fillcolor="#3b957d" stroked="false">
              <v:fill type="solid"/>
            </v:rect>
            <v:line style="position:absolute" from="1960,449" to="1960,2660" stroked="true" strokeweight="2pt" strokecolor="#ffffff">
              <v:stroke dashstyle="solid"/>
            </v:line>
            <v:shape style="position:absolute;left:1980;top:534;width:9247;height:1985" type="#_x0000_t202" filled="true" fillcolor="#3b957d" stroked="false">
              <v:textbox inset="0,0,0,0">
                <w:txbxContent>
                  <w:p>
                    <w:pPr>
                      <w:spacing w:line="218" w:lineRule="auto" w:before="277"/>
                      <w:ind w:left="310" w:right="444" w:firstLine="0"/>
                      <w:jc w:val="left"/>
                      <w:rPr>
                        <w:sz w:val="40"/>
                      </w:rPr>
                    </w:pPr>
                    <w:r>
                      <w:rPr>
                        <w:color w:val="FFFFFF"/>
                        <w:sz w:val="40"/>
                      </w:rPr>
                      <w:t>Reporting on the Adequacy and Effectiveness of Arrangements to Safeguard Children and Adults in Wales</w:t>
                    </w:r>
                  </w:p>
                </w:txbxContent>
              </v:textbox>
              <v:fill type="solid"/>
              <w10:wrap type="none"/>
            </v:shape>
            <v:shape style="position:absolute;left:1007;top:534;width:933;height:1985" type="#_x0000_t202" filled="true" fillcolor="#3b957d" stroked="false">
              <v:textbox inset="0,0,0,0">
                <w:txbxContent>
                  <w:p>
                    <w:pPr>
                      <w:spacing w:before="581"/>
                      <w:ind w:left="283" w:right="0" w:firstLine="0"/>
                      <w:jc w:val="left"/>
                      <w:rPr>
                        <w:rFonts w:ascii="Avenir"/>
                        <w:b/>
                        <w:sz w:val="60"/>
                      </w:rPr>
                    </w:pPr>
                    <w:r>
                      <w:rPr>
                        <w:rFonts w:ascii="Avenir"/>
                        <w:b/>
                        <w:color w:val="FFFFFF"/>
                        <w:sz w:val="60"/>
                      </w:rPr>
                      <w:t>1</w:t>
                    </w:r>
                  </w:p>
                </w:txbxContent>
              </v:textbox>
              <v:fill type="solid"/>
              <w10:wrap type="none"/>
            </v:shape>
            <w10:wrap type="topAndBottom"/>
          </v:group>
        </w:pict>
      </w:r>
    </w:p>
    <w:p>
      <w:pPr>
        <w:pStyle w:val="BodyText"/>
        <w:spacing w:before="5"/>
        <w:rPr>
          <w:sz w:val="24"/>
        </w:rPr>
      </w:pPr>
    </w:p>
    <w:p>
      <w:pPr>
        <w:pStyle w:val="Heading1"/>
        <w:spacing w:before="100"/>
        <w:ind w:left="727"/>
      </w:pPr>
      <w:r>
        <w:rPr>
          <w:color w:val="3B957D"/>
        </w:rPr>
        <w:t>Membership of the Safeguarding Boards</w:t>
      </w:r>
    </w:p>
    <w:p>
      <w:pPr>
        <w:pStyle w:val="BodyText"/>
        <w:spacing w:line="230" w:lineRule="auto" w:before="221"/>
        <w:ind w:left="727" w:right="381"/>
      </w:pPr>
      <w:r>
        <w:rPr>
          <w:color w:val="231F20"/>
        </w:rPr>
        <w:t>All Safeguarding Boards are configured on a regional basis and include the local authorities for each area, chief officers of police, the Local Health Board, NHS trusts providing services in the area, the providers of probation and youth offending services. Although there is a slight change in the</w:t>
      </w:r>
    </w:p>
    <w:p>
      <w:pPr>
        <w:pStyle w:val="BodyText"/>
        <w:spacing w:line="230" w:lineRule="auto"/>
        <w:ind w:left="727" w:right="322"/>
        <w:jc w:val="both"/>
      </w:pPr>
      <w:r>
        <w:rPr>
          <w:color w:val="231F20"/>
        </w:rPr>
        <w:t>numbers of attendees, the similarity of organisations across </w:t>
      </w:r>
      <w:r>
        <w:rPr>
          <w:color w:val="231F20"/>
          <w:spacing w:val="-3"/>
        </w:rPr>
        <w:t>children’s </w:t>
      </w:r>
      <w:r>
        <w:rPr>
          <w:color w:val="231F20"/>
        </w:rPr>
        <w:t>and adults’ boards is</w:t>
      </w:r>
      <w:r>
        <w:rPr>
          <w:color w:val="231F20"/>
          <w:spacing w:val="-24"/>
        </w:rPr>
        <w:t> </w:t>
      </w:r>
      <w:r>
        <w:rPr>
          <w:color w:val="231F20"/>
        </w:rPr>
        <w:t>constant. The variations mostly hinge on whether or not there are secure settings in the region and the extent of third sector</w:t>
      </w:r>
      <w:r>
        <w:rPr>
          <w:color w:val="231F20"/>
          <w:spacing w:val="-1"/>
        </w:rPr>
        <w:t> </w:t>
      </w:r>
      <w:r>
        <w:rPr>
          <w:color w:val="231F20"/>
        </w:rPr>
        <w:t>representation.</w:t>
      </w:r>
    </w:p>
    <w:p>
      <w:pPr>
        <w:pStyle w:val="BodyText"/>
        <w:spacing w:before="6"/>
        <w:rPr>
          <w:sz w:val="21"/>
        </w:rPr>
      </w:pPr>
    </w:p>
    <w:p>
      <w:pPr>
        <w:pStyle w:val="BodyText"/>
        <w:spacing w:line="230" w:lineRule="auto"/>
        <w:ind w:left="727" w:right="338"/>
      </w:pPr>
      <w:r>
        <w:rPr>
          <w:color w:val="231F20"/>
        </w:rPr>
        <w:t>During 2017-18, Directors of Social Services were responsible for chairing all Regional Boards. Their co-Chairs/ Vice Chairs were drawn from Directors and Assistant Directors of Social Services, the police and Health Boards.</w:t>
      </w:r>
    </w:p>
    <w:p>
      <w:pPr>
        <w:pStyle w:val="BodyText"/>
        <w:spacing w:before="5"/>
        <w:rPr>
          <w:sz w:val="21"/>
        </w:rPr>
      </w:pPr>
    </w:p>
    <w:p>
      <w:pPr>
        <w:pStyle w:val="BodyText"/>
        <w:spacing w:line="230" w:lineRule="auto" w:before="1"/>
        <w:ind w:left="727" w:right="381"/>
      </w:pPr>
      <w:r>
        <w:rPr>
          <w:color w:val="231F20"/>
        </w:rPr>
        <w:t>Medical doctors attend five out of the six Children’s Boards: designated doctors from Public Health Wales attend Cardiff and Vale and Gwent; Mid and West Wales and North Wales Children’s Boards are attended by Named Doctors from Powys Teaching Health Board and Betsi Cadwaladr UHB respectively and Western Bay by an Assistant Medical Director, Primary Care. There is no medical practitioner representation at any adults’ boards.</w:t>
      </w:r>
    </w:p>
    <w:p>
      <w:pPr>
        <w:pStyle w:val="BodyText"/>
        <w:spacing w:before="5"/>
        <w:rPr>
          <w:sz w:val="21"/>
        </w:rPr>
      </w:pPr>
    </w:p>
    <w:p>
      <w:pPr>
        <w:pStyle w:val="BodyText"/>
        <w:spacing w:line="230" w:lineRule="auto" w:before="1"/>
        <w:ind w:left="727" w:right="222"/>
        <w:jc w:val="both"/>
      </w:pPr>
      <w:r>
        <w:rPr>
          <w:color w:val="231F20"/>
        </w:rPr>
        <w:t>The Regional Boards are large. Both of </w:t>
      </w:r>
      <w:r>
        <w:rPr>
          <w:color w:val="231F20"/>
          <w:spacing w:val="-4"/>
        </w:rPr>
        <w:t>Gwent’s </w:t>
      </w:r>
      <w:r>
        <w:rPr>
          <w:color w:val="231F20"/>
        </w:rPr>
        <w:t>boards have grown by a third, and North Wales’</w:t>
      </w:r>
      <w:r>
        <w:rPr>
          <w:color w:val="231F20"/>
          <w:spacing w:val="-25"/>
        </w:rPr>
        <w:t> </w:t>
      </w:r>
      <w:r>
        <w:rPr>
          <w:color w:val="231F20"/>
          <w:spacing w:val="-4"/>
        </w:rPr>
        <w:t>have </w:t>
      </w:r>
      <w:r>
        <w:rPr>
          <w:color w:val="231F20"/>
        </w:rPr>
        <w:t>reduced by a</w:t>
      </w:r>
      <w:r>
        <w:rPr>
          <w:color w:val="231F20"/>
          <w:spacing w:val="-1"/>
        </w:rPr>
        <w:t> </w:t>
      </w:r>
      <w:r>
        <w:rPr>
          <w:color w:val="231F20"/>
        </w:rPr>
        <w:t>third.</w:t>
      </w:r>
    </w:p>
    <w:p>
      <w:pPr>
        <w:pStyle w:val="BodyText"/>
        <w:spacing w:before="9"/>
        <w:rPr>
          <w:sz w:val="20"/>
        </w:rPr>
      </w:pPr>
    </w:p>
    <w:p>
      <w:pPr>
        <w:pStyle w:val="BodyText"/>
        <w:spacing w:line="286" w:lineRule="exact" w:before="1"/>
        <w:ind w:left="727"/>
        <w:jc w:val="both"/>
      </w:pPr>
      <w:r>
        <w:rPr>
          <w:color w:val="231F20"/>
        </w:rPr>
        <w:t>The number of Regional Board meetings (re either children or adults) per year varies between four,</w:t>
      </w:r>
    </w:p>
    <w:p>
      <w:pPr>
        <w:pStyle w:val="BodyText"/>
        <w:spacing w:line="286" w:lineRule="exact"/>
        <w:ind w:left="727"/>
      </w:pPr>
      <w:r>
        <w:rPr>
          <w:color w:val="231F20"/>
        </w:rPr>
        <w:t>e.g. Cardiff and Vale and six, North Wales.</w:t>
      </w:r>
    </w:p>
    <w:p>
      <w:pPr>
        <w:pStyle w:val="BodyText"/>
        <w:spacing w:before="2"/>
        <w:rPr>
          <w:sz w:val="21"/>
        </w:rPr>
      </w:pPr>
    </w:p>
    <w:p>
      <w:pPr>
        <w:pStyle w:val="BodyText"/>
        <w:spacing w:line="230" w:lineRule="auto"/>
        <w:ind w:left="727" w:right="432"/>
      </w:pPr>
      <w:r>
        <w:rPr>
          <w:color w:val="231F20"/>
        </w:rPr>
        <w:t>The attendance of members is cited by all Regional Boards. Cardiff and Vale report on attendance at both Boards. Cwm Taf’s includes a comprehensive table reflecting attendance at the board operational committee, subgroups and whether or not agencies contributed to Practice Reviews. Gwent refers to “consistent participation.” Mid and West Wales noted that the limited availability of two partners impacted on the partnerships. North Wales presents tables of attendance for the children’s and adults’ boards and acknowledges that improvements are required in relation to</w:t>
      </w:r>
    </w:p>
    <w:p>
      <w:pPr>
        <w:pStyle w:val="BodyText"/>
        <w:spacing w:line="230" w:lineRule="auto" w:before="1"/>
        <w:ind w:left="727" w:right="530"/>
      </w:pPr>
      <w:r>
        <w:rPr>
          <w:color w:val="231F20"/>
        </w:rPr>
        <w:t>its Local Delivery Groups and practice reviewing processes. Western Bay notes that “members agree to attend 75% of Board meetings” and that 100% attendance is achieved by substituting representation.</w:t>
      </w:r>
    </w:p>
    <w:p>
      <w:pPr>
        <w:spacing w:after="0" w:line="230" w:lineRule="auto"/>
        <w:sectPr>
          <w:pgSz w:w="11910" w:h="16840"/>
          <w:pgMar w:top="0" w:bottom="0" w:left="520" w:right="520"/>
        </w:sectPr>
      </w:pPr>
    </w:p>
    <w:p>
      <w:pPr>
        <w:pStyle w:val="BodyText"/>
        <w:rPr>
          <w:sz w:val="20"/>
        </w:rPr>
      </w:pPr>
      <w:r>
        <w:rPr/>
        <w:pict>
          <v:rect style="position:absolute;margin-left:566.929016pt;margin-top:0pt;width:28.347001pt;height:841.890015pt;mso-position-horizontal-relative:page;mso-position-vertical-relative:page;z-index:15735296" filled="true" fillcolor="#3b957d" stroked="false">
            <v:fill type="solid"/>
            <w10:wrap type="none"/>
          </v:rect>
        </w:pict>
      </w:r>
      <w:r>
        <w:rPr/>
        <w:pict>
          <v:shape style="position:absolute;margin-left:573.765198pt;margin-top:182.052719pt;width:15.7pt;height:477.8pt;mso-position-horizontal-relative:page;mso-position-vertical-relative:page;z-index:15735808"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138" w:val="right" w:leader="none"/>
        </w:tabs>
        <w:spacing w:before="100"/>
        <w:ind w:left="160" w:right="0" w:firstLine="0"/>
        <w:jc w:val="left"/>
        <w:rPr>
          <w:sz w:val="16"/>
        </w:rPr>
      </w:pPr>
      <w:r>
        <w:rPr>
          <w:color w:val="231F20"/>
          <w:sz w:val="16"/>
        </w:rPr>
        <w:t>Annual Report 2017-18</w:t>
        <w:tab/>
        <w:t>7</w:t>
      </w:r>
    </w:p>
    <w:p>
      <w:pPr>
        <w:pStyle w:val="BodyText"/>
        <w:rPr>
          <w:sz w:val="20"/>
        </w:rPr>
      </w:pPr>
    </w:p>
    <w:p>
      <w:pPr>
        <w:pStyle w:val="BodyText"/>
        <w:rPr>
          <w:sz w:val="20"/>
        </w:rPr>
      </w:pPr>
    </w:p>
    <w:p>
      <w:pPr>
        <w:pStyle w:val="BodyText"/>
        <w:rPr>
          <w:sz w:val="20"/>
        </w:rPr>
      </w:pPr>
    </w:p>
    <w:p>
      <w:pPr>
        <w:pStyle w:val="BodyText"/>
        <w:spacing w:before="3"/>
        <w:rPr>
          <w:sz w:val="20"/>
        </w:rPr>
      </w:pPr>
    </w:p>
    <w:tbl>
      <w:tblPr>
        <w:tblW w:w="0" w:type="auto"/>
        <w:jc w:val="left"/>
        <w:tblInd w:w="17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66"/>
        <w:gridCol w:w="8505"/>
      </w:tblGrid>
      <w:tr>
        <w:trPr>
          <w:trHeight w:val="2053" w:hRule="atLeast"/>
        </w:trPr>
        <w:tc>
          <w:tcPr>
            <w:tcW w:w="1466" w:type="dxa"/>
            <w:shd w:val="clear" w:color="auto" w:fill="399279"/>
          </w:tcPr>
          <w:p>
            <w:pPr>
              <w:pStyle w:val="TableParagraph"/>
              <w:spacing w:line="223" w:lineRule="auto" w:before="232"/>
              <w:ind w:left="346" w:firstLine="183"/>
              <w:rPr>
                <w:rFonts w:ascii="Avenir"/>
                <w:b/>
                <w:sz w:val="22"/>
              </w:rPr>
            </w:pPr>
            <w:r>
              <w:rPr>
                <w:rFonts w:ascii="Avenir"/>
                <w:b/>
                <w:color w:val="FFFFFF"/>
                <w:sz w:val="22"/>
              </w:rPr>
              <w:t>Cardiff and Vale</w:t>
            </w:r>
          </w:p>
        </w:tc>
        <w:tc>
          <w:tcPr>
            <w:tcW w:w="8505" w:type="dxa"/>
            <w:tcBorders>
              <w:top w:val="nil"/>
              <w:right w:val="nil"/>
            </w:tcBorders>
            <w:shd w:val="clear" w:color="auto" w:fill="399279"/>
          </w:tcPr>
          <w:p>
            <w:pPr>
              <w:pStyle w:val="TableParagraph"/>
              <w:spacing w:line="228" w:lineRule="auto" w:before="227"/>
              <w:ind w:left="226" w:right="198"/>
              <w:rPr>
                <w:sz w:val="22"/>
              </w:rPr>
            </w:pPr>
            <w:r>
              <w:rPr>
                <w:color w:val="FFFFFF"/>
                <w:sz w:val="22"/>
              </w:rPr>
              <w:t>During </w:t>
            </w:r>
            <w:r>
              <w:rPr>
                <w:rFonts w:ascii="Avenir" w:hAnsi="Avenir"/>
                <w:b/>
                <w:color w:val="FFFFFF"/>
                <w:sz w:val="22"/>
              </w:rPr>
              <w:t>2016-17</w:t>
            </w:r>
            <w:r>
              <w:rPr>
                <w:color w:val="FFFFFF"/>
                <w:sz w:val="22"/>
              </w:rPr>
              <w:t>, there were 36 members of the children’s Board and 24 members of the Adults Board from Cardiff and Vale of Glamorgan; during </w:t>
            </w:r>
            <w:r>
              <w:rPr>
                <w:rFonts w:ascii="Avenir" w:hAnsi="Avenir"/>
                <w:b/>
                <w:color w:val="FFFFFF"/>
                <w:sz w:val="22"/>
              </w:rPr>
              <w:t>2017-18</w:t>
            </w:r>
            <w:r>
              <w:rPr>
                <w:color w:val="FFFFFF"/>
                <w:sz w:val="22"/>
              </w:rPr>
              <w:t>, the same organisations were represented at the children’s board and there were 26 attendees at the adults’ board. The latter had secured representation from the Community Rehabilitation Company and HMP Cardiff. South Wales Fire and Rescue is no longer represented</w:t>
            </w:r>
          </w:p>
        </w:tc>
      </w:tr>
      <w:tr>
        <w:trPr>
          <w:trHeight w:val="1213" w:hRule="atLeast"/>
        </w:trPr>
        <w:tc>
          <w:tcPr>
            <w:tcW w:w="1466" w:type="dxa"/>
            <w:shd w:val="clear" w:color="auto" w:fill="399279"/>
          </w:tcPr>
          <w:p>
            <w:pPr>
              <w:pStyle w:val="TableParagraph"/>
              <w:spacing w:before="216"/>
              <w:ind w:right="204"/>
              <w:jc w:val="right"/>
              <w:rPr>
                <w:rFonts w:ascii="Avenir"/>
                <w:b/>
                <w:sz w:val="22"/>
              </w:rPr>
            </w:pPr>
            <w:r>
              <w:rPr>
                <w:rFonts w:ascii="Avenir"/>
                <w:b/>
                <w:color w:val="FFFFFF"/>
                <w:sz w:val="22"/>
              </w:rPr>
              <w:t>Cwm Taf</w:t>
            </w:r>
          </w:p>
        </w:tc>
        <w:tc>
          <w:tcPr>
            <w:tcW w:w="8505" w:type="dxa"/>
            <w:tcBorders>
              <w:right w:val="nil"/>
            </w:tcBorders>
            <w:shd w:val="clear" w:color="auto" w:fill="399279"/>
          </w:tcPr>
          <w:p>
            <w:pPr>
              <w:pStyle w:val="TableParagraph"/>
              <w:spacing w:line="223" w:lineRule="auto" w:before="232"/>
              <w:ind w:left="226" w:right="508"/>
              <w:rPr>
                <w:sz w:val="22"/>
              </w:rPr>
            </w:pPr>
            <w:r>
              <w:rPr>
                <w:color w:val="FFFFFF"/>
                <w:sz w:val="22"/>
              </w:rPr>
              <w:t>During </w:t>
            </w:r>
            <w:r>
              <w:rPr>
                <w:rFonts w:ascii="Avenir"/>
                <w:b/>
                <w:color w:val="FFFFFF"/>
                <w:sz w:val="22"/>
              </w:rPr>
              <w:t>2016-17</w:t>
            </w:r>
            <w:r>
              <w:rPr>
                <w:color w:val="FFFFFF"/>
                <w:sz w:val="22"/>
              </w:rPr>
              <w:t>, there were 27 members of the joint Regional Board from Merthyr Tydfil and Rhondda Cynon Taf; during </w:t>
            </w:r>
            <w:r>
              <w:rPr>
                <w:rFonts w:ascii="Avenir"/>
                <w:b/>
                <w:color w:val="FFFFFF"/>
                <w:sz w:val="22"/>
              </w:rPr>
              <w:t>2017-18</w:t>
            </w:r>
            <w:r>
              <w:rPr>
                <w:color w:val="FFFFFF"/>
                <w:sz w:val="22"/>
              </w:rPr>
              <w:t>, there were 24 with no changes in the organisations represented</w:t>
            </w:r>
          </w:p>
        </w:tc>
      </w:tr>
      <w:tr>
        <w:trPr>
          <w:trHeight w:val="1493" w:hRule="atLeast"/>
        </w:trPr>
        <w:tc>
          <w:tcPr>
            <w:tcW w:w="1466" w:type="dxa"/>
            <w:shd w:val="clear" w:color="auto" w:fill="399279"/>
          </w:tcPr>
          <w:p>
            <w:pPr>
              <w:pStyle w:val="TableParagraph"/>
              <w:spacing w:before="216"/>
              <w:ind w:right="204"/>
              <w:jc w:val="right"/>
              <w:rPr>
                <w:rFonts w:ascii="Avenir"/>
                <w:b/>
                <w:sz w:val="22"/>
              </w:rPr>
            </w:pPr>
            <w:r>
              <w:rPr>
                <w:rFonts w:ascii="Avenir"/>
                <w:b/>
                <w:color w:val="FFFFFF"/>
                <w:sz w:val="22"/>
              </w:rPr>
              <w:t>Gwent</w:t>
            </w:r>
          </w:p>
        </w:tc>
        <w:tc>
          <w:tcPr>
            <w:tcW w:w="8505" w:type="dxa"/>
            <w:tcBorders>
              <w:right w:val="nil"/>
            </w:tcBorders>
            <w:shd w:val="clear" w:color="auto" w:fill="399279"/>
          </w:tcPr>
          <w:p>
            <w:pPr>
              <w:pStyle w:val="TableParagraph"/>
              <w:spacing w:line="225" w:lineRule="auto" w:before="230"/>
              <w:ind w:left="226" w:right="198"/>
              <w:rPr>
                <w:sz w:val="22"/>
              </w:rPr>
            </w:pPr>
            <w:r>
              <w:rPr>
                <w:color w:val="FFFFFF"/>
                <w:sz w:val="22"/>
              </w:rPr>
              <w:t>During </w:t>
            </w:r>
            <w:r>
              <w:rPr>
                <w:rFonts w:ascii="Avenir" w:hAnsi="Avenir"/>
                <w:b/>
                <w:color w:val="FFFFFF"/>
                <w:sz w:val="22"/>
              </w:rPr>
              <w:t>2016-17</w:t>
            </w:r>
            <w:r>
              <w:rPr>
                <w:color w:val="FFFFFF"/>
                <w:sz w:val="22"/>
              </w:rPr>
              <w:t>, there were 24 members of the children’s Board and 23 members of the Adults Board from Blaenau Gwent, Caerphilly, Monmouthshire, Newport and Torfaen; during </w:t>
            </w:r>
            <w:r>
              <w:rPr>
                <w:rFonts w:ascii="Avenir" w:hAnsi="Avenir"/>
                <w:b/>
                <w:color w:val="FFFFFF"/>
                <w:sz w:val="22"/>
              </w:rPr>
              <w:t>2017-18</w:t>
            </w:r>
            <w:r>
              <w:rPr>
                <w:color w:val="FFFFFF"/>
                <w:sz w:val="22"/>
              </w:rPr>
              <w:t>, there were 32 members of the children’s board and 31 attendees at the adults’ board</w:t>
            </w:r>
          </w:p>
        </w:tc>
      </w:tr>
      <w:tr>
        <w:trPr>
          <w:trHeight w:val="1493" w:hRule="atLeast"/>
        </w:trPr>
        <w:tc>
          <w:tcPr>
            <w:tcW w:w="1466" w:type="dxa"/>
            <w:shd w:val="clear" w:color="auto" w:fill="399279"/>
          </w:tcPr>
          <w:p>
            <w:pPr>
              <w:pStyle w:val="TableParagraph"/>
              <w:spacing w:line="290" w:lineRule="exact" w:before="216"/>
              <w:ind w:left="387"/>
              <w:rPr>
                <w:rFonts w:ascii="Avenir"/>
                <w:b/>
                <w:sz w:val="22"/>
              </w:rPr>
            </w:pPr>
            <w:r>
              <w:rPr>
                <w:rFonts w:ascii="Avenir"/>
                <w:b/>
                <w:color w:val="FFFFFF"/>
                <w:sz w:val="22"/>
              </w:rPr>
              <w:t>Mid and</w:t>
            </w:r>
          </w:p>
          <w:p>
            <w:pPr>
              <w:pStyle w:val="TableParagraph"/>
              <w:spacing w:line="223" w:lineRule="auto" w:before="6"/>
              <w:ind w:left="623" w:right="188" w:firstLine="81"/>
              <w:rPr>
                <w:rFonts w:ascii="Avenir"/>
                <w:b/>
                <w:sz w:val="22"/>
              </w:rPr>
            </w:pPr>
            <w:r>
              <w:rPr>
                <w:rFonts w:ascii="Avenir"/>
                <w:b/>
                <w:color w:val="FFFFFF"/>
                <w:spacing w:val="-1"/>
                <w:sz w:val="22"/>
              </w:rPr>
              <w:t>West </w:t>
            </w:r>
            <w:r>
              <w:rPr>
                <w:rFonts w:ascii="Avenir"/>
                <w:b/>
                <w:color w:val="FFFFFF"/>
                <w:spacing w:val="-2"/>
                <w:sz w:val="22"/>
              </w:rPr>
              <w:t>Wales</w:t>
            </w:r>
          </w:p>
        </w:tc>
        <w:tc>
          <w:tcPr>
            <w:tcW w:w="8505" w:type="dxa"/>
            <w:tcBorders>
              <w:right w:val="nil"/>
            </w:tcBorders>
            <w:shd w:val="clear" w:color="auto" w:fill="399279"/>
          </w:tcPr>
          <w:p>
            <w:pPr>
              <w:pStyle w:val="TableParagraph"/>
              <w:spacing w:line="225" w:lineRule="auto" w:before="230"/>
              <w:ind w:left="226" w:right="198"/>
              <w:rPr>
                <w:sz w:val="22"/>
              </w:rPr>
            </w:pPr>
            <w:r>
              <w:rPr>
                <w:color w:val="FFFFFF"/>
                <w:sz w:val="22"/>
              </w:rPr>
              <w:t>During </w:t>
            </w:r>
            <w:r>
              <w:rPr>
                <w:rFonts w:ascii="Avenir" w:hAnsi="Avenir"/>
                <w:b/>
                <w:color w:val="FFFFFF"/>
                <w:sz w:val="22"/>
              </w:rPr>
              <w:t>2016-17</w:t>
            </w:r>
            <w:r>
              <w:rPr>
                <w:color w:val="FFFFFF"/>
                <w:sz w:val="22"/>
              </w:rPr>
              <w:t>, there were 23 members of the children’s Board and 20 members of the Adults’ Board from Carmarthenshire, Ceredigion, Pembrokeshire and Powys; during </w:t>
            </w:r>
            <w:r>
              <w:rPr>
                <w:rFonts w:ascii="Avenir" w:hAnsi="Avenir"/>
                <w:b/>
                <w:color w:val="FFFFFF"/>
                <w:sz w:val="22"/>
              </w:rPr>
              <w:t>2017-18</w:t>
            </w:r>
            <w:r>
              <w:rPr>
                <w:color w:val="FFFFFF"/>
                <w:sz w:val="22"/>
              </w:rPr>
              <w:t>, there were 23 attendees at the children’s board and 20 attendees at the adults’ board</w:t>
            </w:r>
          </w:p>
        </w:tc>
      </w:tr>
      <w:tr>
        <w:trPr>
          <w:trHeight w:val="1493" w:hRule="atLeast"/>
        </w:trPr>
        <w:tc>
          <w:tcPr>
            <w:tcW w:w="1466" w:type="dxa"/>
            <w:shd w:val="clear" w:color="auto" w:fill="399279"/>
          </w:tcPr>
          <w:p>
            <w:pPr>
              <w:pStyle w:val="TableParagraph"/>
              <w:spacing w:line="223" w:lineRule="auto" w:before="232"/>
              <w:ind w:left="623" w:hanging="4"/>
              <w:rPr>
                <w:rFonts w:ascii="Avenir"/>
                <w:b/>
                <w:sz w:val="22"/>
              </w:rPr>
            </w:pPr>
            <w:r>
              <w:rPr>
                <w:rFonts w:ascii="Avenir"/>
                <w:b/>
                <w:color w:val="FFFFFF"/>
                <w:sz w:val="22"/>
              </w:rPr>
              <w:t>North Wales</w:t>
            </w:r>
          </w:p>
        </w:tc>
        <w:tc>
          <w:tcPr>
            <w:tcW w:w="8505" w:type="dxa"/>
            <w:tcBorders>
              <w:right w:val="nil"/>
            </w:tcBorders>
            <w:shd w:val="clear" w:color="auto" w:fill="399279"/>
          </w:tcPr>
          <w:p>
            <w:pPr>
              <w:pStyle w:val="TableParagraph"/>
              <w:spacing w:line="225" w:lineRule="auto" w:before="230"/>
              <w:ind w:left="226" w:right="51"/>
              <w:rPr>
                <w:sz w:val="22"/>
              </w:rPr>
            </w:pPr>
            <w:r>
              <w:rPr>
                <w:color w:val="FFFFFF"/>
                <w:sz w:val="22"/>
              </w:rPr>
              <w:t>During </w:t>
            </w:r>
            <w:r>
              <w:rPr>
                <w:rFonts w:ascii="Avenir" w:hAnsi="Avenir"/>
                <w:b/>
                <w:color w:val="FFFFFF"/>
                <w:sz w:val="22"/>
              </w:rPr>
              <w:t>2016-17</w:t>
            </w:r>
            <w:r>
              <w:rPr>
                <w:color w:val="FFFFFF"/>
                <w:sz w:val="22"/>
              </w:rPr>
              <w:t>, there were 24 members of the children’s Board and 25 members of the Adults Board from Conwy, Denbighshire, Flintshire, Gwynedd, Isle of Anglesey and Wrexham; during </w:t>
            </w:r>
            <w:r>
              <w:rPr>
                <w:rFonts w:ascii="Avenir" w:hAnsi="Avenir"/>
                <w:b/>
                <w:color w:val="FFFFFF"/>
                <w:sz w:val="22"/>
              </w:rPr>
              <w:t>2017-18</w:t>
            </w:r>
            <w:r>
              <w:rPr>
                <w:color w:val="FFFFFF"/>
                <w:sz w:val="22"/>
              </w:rPr>
              <w:t>, there were 16 members of the children’s board and 17 members of the adults’ board.</w:t>
            </w:r>
          </w:p>
        </w:tc>
      </w:tr>
      <w:tr>
        <w:trPr>
          <w:trHeight w:val="1773" w:hRule="atLeast"/>
        </w:trPr>
        <w:tc>
          <w:tcPr>
            <w:tcW w:w="1466" w:type="dxa"/>
            <w:shd w:val="clear" w:color="auto" w:fill="399279"/>
          </w:tcPr>
          <w:p>
            <w:pPr>
              <w:pStyle w:val="TableParagraph"/>
              <w:spacing w:line="290" w:lineRule="exact" w:before="216"/>
              <w:ind w:left="359"/>
              <w:rPr>
                <w:rFonts w:ascii="Avenir"/>
                <w:b/>
                <w:sz w:val="22"/>
              </w:rPr>
            </w:pPr>
            <w:r>
              <w:rPr>
                <w:rFonts w:ascii="Avenir"/>
                <w:b/>
                <w:color w:val="FFFFFF"/>
                <w:sz w:val="22"/>
              </w:rPr>
              <w:t>Western</w:t>
            </w:r>
          </w:p>
          <w:p>
            <w:pPr>
              <w:pStyle w:val="TableParagraph"/>
              <w:spacing w:line="290" w:lineRule="exact"/>
              <w:ind w:left="856"/>
              <w:rPr>
                <w:rFonts w:ascii="Avenir"/>
                <w:b/>
                <w:sz w:val="22"/>
              </w:rPr>
            </w:pPr>
            <w:r>
              <w:rPr>
                <w:rFonts w:ascii="Avenir"/>
                <w:b/>
                <w:color w:val="FFFFFF"/>
                <w:sz w:val="22"/>
              </w:rPr>
              <w:t>Bay</w:t>
            </w:r>
          </w:p>
        </w:tc>
        <w:tc>
          <w:tcPr>
            <w:tcW w:w="8505" w:type="dxa"/>
            <w:tcBorders>
              <w:bottom w:val="nil"/>
              <w:right w:val="nil"/>
            </w:tcBorders>
            <w:shd w:val="clear" w:color="auto" w:fill="399279"/>
          </w:tcPr>
          <w:p>
            <w:pPr>
              <w:pStyle w:val="TableParagraph"/>
              <w:spacing w:line="225" w:lineRule="auto" w:before="230"/>
              <w:ind w:left="226" w:right="198"/>
              <w:rPr>
                <w:sz w:val="22"/>
              </w:rPr>
            </w:pPr>
            <w:r>
              <w:rPr>
                <w:color w:val="FFFFFF"/>
                <w:sz w:val="22"/>
              </w:rPr>
              <w:t>During </w:t>
            </w:r>
            <w:r>
              <w:rPr>
                <w:rFonts w:ascii="Avenir" w:hAnsi="Avenir"/>
                <w:b/>
                <w:color w:val="FFFFFF"/>
                <w:sz w:val="22"/>
              </w:rPr>
              <w:t>2016-17</w:t>
            </w:r>
            <w:r>
              <w:rPr>
                <w:color w:val="FFFFFF"/>
                <w:sz w:val="22"/>
              </w:rPr>
              <w:t>, there were 27 members of the children’s Board and 26 members of the Adults Board from Bridgend, Swansea and Neath Port Talbot; during </w:t>
            </w:r>
            <w:r>
              <w:rPr>
                <w:rFonts w:ascii="Avenir" w:hAnsi="Avenir"/>
                <w:b/>
                <w:color w:val="FFFFFF"/>
                <w:sz w:val="22"/>
              </w:rPr>
              <w:t>2017- 18</w:t>
            </w:r>
            <w:r>
              <w:rPr>
                <w:color w:val="FFFFFF"/>
                <w:sz w:val="22"/>
              </w:rPr>
              <w:t>, there were 24 attendees at the children’s board with membership shifting to include Hillside Secure Unit and the Young Offenders Unit at HMP Parc; and 22 at the adults’ board with HMP Swansea no longer represented</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r>
        <w:rPr/>
        <w:pict>
          <v:group style="position:absolute;margin-left:112.6772pt;margin-top:19.404699pt;width:420.25pt;height:109pt;mso-position-horizontal-relative:page;mso-position-vertical-relative:paragraph;z-index:-15722496;mso-wrap-distance-left:0;mso-wrap-distance-right:0" coordorigin="2254,388" coordsize="8405,2180">
            <v:shape style="position:absolute;left:3033;top:583;width:7626;height:1826" coordorigin="3033,583" coordsize="7626,1826" path="m10091,583l3600,583,3272,592,3104,654,3042,822,3033,1150,3033,1842,3042,2170,3104,2338,3272,2400,3600,2409,10091,2409,10419,2400,10587,2338,10649,2170,10658,1842,10658,1150,10649,822,10587,654,10419,592,10091,583xe" filled="true" fillcolor="#3e77a4" stroked="false">
              <v:path arrowok="t"/>
              <v:fill type="solid"/>
            </v:shape>
            <v:shape style="position:absolute;left:2253;top:388;width:2180;height:2180" coordorigin="2254,388" coordsize="2180,2180" path="m3343,388l3269,391,3196,398,3124,410,3054,427,2985,448,2919,474,2855,503,2793,537,2734,574,2677,615,2624,660,2573,707,2525,758,2481,812,2440,869,2402,928,2369,990,2339,1054,2314,1120,2292,1188,2276,1258,2263,1330,2256,1403,2254,1478,2256,1553,2263,1626,2276,1698,2292,1768,2314,1836,2339,1902,2369,1966,2402,2028,2440,2087,2481,2144,2525,2198,2573,2249,2624,2296,2677,2341,2734,2382,2793,2419,2855,2453,2919,2482,2985,2508,3054,2529,3124,2546,3196,2558,3269,2565,3343,2568,3418,2565,3491,2558,3563,2546,3633,2529,3701,2508,3768,2482,3832,2453,3894,2419,3953,2382,4009,2341,4063,2296,4114,2249,4162,2198,4206,2144,4247,2087,4285,2028,4318,1966,4348,1902,4373,1836,4394,1768,4411,1698,4423,1626,4431,1553,4433,1478,4431,1403,4423,1330,4411,1258,4394,1188,4373,1120,4348,1054,4318,990,4285,928,4247,869,4206,812,4162,758,4114,707,4063,660,4009,615,3953,574,3894,537,3832,503,3768,474,3701,448,3633,427,3563,410,3491,398,3418,391,3343,388xe" filled="true" fillcolor="#d5583b" stroked="false">
              <v:path arrowok="t"/>
              <v:fill type="solid"/>
            </v:shape>
            <v:shape style="position:absolute;left:2666;top:597;width:1435;height:1702" coordorigin="2666,597" coordsize="1435,1702" path="m3003,1207l2996,1153,2885,1169,2893,1222,3003,1207xm3028,1012l2931,962,2905,1011,3002,1062,3028,1012xm3066,1346l3036,1298,2944,1357,2973,1404,3066,1346xm3131,906l3070,823,3025,856,3086,939,3131,906xm3276,867l3262,770,3209,777,3223,875,3276,867xm3430,1616l3284,1637,3295,1646,3307,1655,3319,1663,3335,1672,3345,1672,3366,1670,3385,1663,3401,1652,3415,1635,3418,1629,3424,1624,3430,1616xm3441,1512l3437,1488,3427,1481,3246,1507,3239,1516,3242,1540,3252,1547,3342,1534,3433,1521,3441,1512xm3446,1580l3443,1554,3433,1548,3260,1572,3252,1582,3255,1607,3266,1613,3351,1601,3439,1589,3446,1580xm3458,794l3405,775,3370,872,3422,892,3458,794xm3518,1148l3514,1107,3501,1057,3478,1014,3445,978,3402,950,3357,933,3311,925,3264,926,3217,937,3146,970,3095,1019,3065,1081,3056,1151,3071,1226,3081,1252,3095,1276,3110,1300,3127,1323,3165,1370,3183,1395,3200,1422,3213,1450,3221,1481,3275,1474,3274,1468,3274,1464,3262,1428,3256,1412,3249,1397,3233,1369,3214,1342,3173,1291,3156,1269,3141,1247,3129,1222,3119,1196,3112,1143,3120,1093,3144,1048,3184,1012,3212,997,3241,987,3271,982,3302,980,3367,995,3418,1030,3451,1083,3462,1148,3460,1177,3454,1206,3445,1234,3434,1262,3422,1290,3411,1319,3401,1348,3393,1379,3390,1398,3388,1417,3389,1437,3391,1457,3444,1449,3444,1411,3451,1375,3462,1340,3492,1268,3505,1229,3514,1189,3518,1148xm3617,910l3578,869,3499,945,3538,985,3617,910xm3675,1252l3571,1226,3557,1280,3662,1306,3675,1252xm3688,1109l3680,1055,3569,1071,3577,1125,3688,1109xm4101,1701l4099,1672,4050,1481,4050,1694,3896,1694,3896,1739,3896,1888,3897,1935,3890,1977,3869,2009,3837,2028,3798,2034,3722,2033,3646,2033,3493,2034,3469,2034,3469,2085,3590,2085,3622,2245,2951,2245,2951,2215,2950,2151,2948,2076,2943,2002,2934,1928,2922,1854,2906,1781,2885,1709,2862,1647,2838,1586,2813,1525,2787,1465,2774,1433,2760,1402,2747,1371,2734,1339,2728,1321,2724,1301,2721,1282,2720,1262,2723,1181,2734,1105,2754,1034,2782,968,2819,907,2863,851,2916,800,2977,753,3046,712,3125,678,3206,657,3290,649,3376,652,3456,665,3529,686,3596,716,3657,755,3712,801,3761,856,3805,918,3844,988,3875,1057,3900,1127,3922,1200,3941,1273,3962,1353,3983,1434,4025,1595,4047,1680,4048,1686,4050,1694,4050,1481,4035,1425,4014,1343,3993,1260,3971,1178,3946,1095,3916,1014,3878,937,3831,863,3778,796,3719,739,3655,691,3584,653,3573,649,3507,625,3423,607,3351,597,3305,597,3270,601,3232,604,3213,606,3194,609,3113,631,3037,660,2967,697,2904,742,2847,794,2797,854,2753,922,2715,998,2687,1076,2670,1157,2666,1238,2678,1321,2689,1359,2703,1397,2719,1434,2735,1471,2765,1539,2793,1607,2820,1676,2843,1745,2863,1816,2878,1888,2888,1962,2896,2046,2900,2130,2900,2215,2896,2299,3684,2299,3673,2245,3641,2085,3663,2085,3735,2085,3790,2085,3807,2085,3857,2076,3899,2050,3911,2034,3929,2012,3942,1964,3944,1923,3945,1888,3945,1745,3953,1745,3959,1744,3990,1744,4024,1744,4040,1744,4044,1744,4072,1739,4091,1724,4101,1701xe" filled="true" fillcolor="#ffffff" stroked="false">
              <v:path arrowok="t"/>
              <v:fill type="solid"/>
            </v:shape>
            <v:line style="position:absolute" from="4740,1222" to="10182,1222" stroked="true" strokeweight="1pt" strokecolor="#ffffff">
              <v:stroke dashstyle="solid"/>
            </v:line>
            <v:shape style="position:absolute;left:2253;top:388;width:8405;height:2180" type="#_x0000_t202" filled="false" stroked="false">
              <v:textbox inset="0,0,0,0">
                <w:txbxContent>
                  <w:p>
                    <w:pPr>
                      <w:spacing w:line="240" w:lineRule="auto" w:before="2"/>
                      <w:rPr>
                        <w:sz w:val="28"/>
                      </w:rPr>
                    </w:pPr>
                  </w:p>
                  <w:p>
                    <w:pPr>
                      <w:spacing w:before="1"/>
                      <w:ind w:left="2485" w:right="0" w:firstLine="0"/>
                      <w:jc w:val="left"/>
                      <w:rPr>
                        <w:rFonts w:ascii="Avenir"/>
                        <w:b/>
                        <w:sz w:val="28"/>
                      </w:rPr>
                    </w:pPr>
                    <w:r>
                      <w:rPr>
                        <w:rFonts w:ascii="Avenir"/>
                        <w:b/>
                        <w:color w:val="FFFFFF"/>
                        <w:sz w:val="28"/>
                      </w:rPr>
                      <w:t>DID YOU KNOW?</w:t>
                    </w:r>
                  </w:p>
                  <w:p>
                    <w:pPr>
                      <w:spacing w:line="218" w:lineRule="auto" w:before="244"/>
                      <w:ind w:left="2485" w:right="508" w:firstLine="0"/>
                      <w:jc w:val="left"/>
                      <w:rPr>
                        <w:sz w:val="22"/>
                      </w:rPr>
                    </w:pPr>
                    <w:r>
                      <w:rPr>
                        <w:color w:val="FFFFFF"/>
                        <w:sz w:val="22"/>
                      </w:rPr>
                      <w:t>During 2017-18 the Welsh Ambulance Service Trust was represented at ten of the 11 Regional Boards by the same person…</w:t>
                    </w:r>
                  </w:p>
                </w:txbxContent>
              </v:textbox>
              <w10:wrap type="none"/>
            </v:shape>
            <w10:wrap type="topAndBottom"/>
          </v:group>
        </w:pict>
      </w:r>
    </w:p>
    <w:p>
      <w:pPr>
        <w:spacing w:after="0"/>
        <w:rPr>
          <w:sz w:val="26"/>
        </w:rPr>
        <w:sectPr>
          <w:pgSz w:w="11910" w:h="16840"/>
          <w:pgMar w:top="0" w:bottom="0" w:left="520" w:right="520"/>
        </w:sectPr>
      </w:pPr>
    </w:p>
    <w:p>
      <w:pPr>
        <w:pStyle w:val="BodyText"/>
        <w:rPr>
          <w:sz w:val="20"/>
        </w:rPr>
      </w:pPr>
      <w:r>
        <w:rPr/>
        <w:pict>
          <v:rect style="position:absolute;margin-left:0pt;margin-top:0pt;width:28.346pt;height:841.890015pt;mso-position-horizontal-relative:page;mso-position-vertical-relative:page;z-index:-17840640" filled="true" fillcolor="#3b957d" stroked="false">
            <v:fill type="solid"/>
            <w10:wrap type="none"/>
          </v:rect>
        </w:pict>
      </w:r>
      <w:r>
        <w:rPr/>
        <w:pict>
          <v:shape style="position:absolute;margin-left:7.0315pt;margin-top:182.052505pt;width:15.7pt;height:477.8pt;mso-position-horizontal-relative:page;mso-position-vertical-relative:page;z-index:15736832"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7198" w:val="left" w:leader="none"/>
        </w:tabs>
        <w:spacing w:before="100"/>
        <w:ind w:left="727" w:right="0" w:firstLine="0"/>
        <w:jc w:val="left"/>
        <w:rPr>
          <w:sz w:val="16"/>
        </w:rPr>
      </w:pPr>
      <w:r>
        <w:rPr>
          <w:color w:val="231F20"/>
          <w:sz w:val="16"/>
        </w:rPr>
        <w:t>8</w:t>
        <w:tab/>
        <w:t>National Independent Safeguarding Board</w:t>
      </w:r>
      <w:r>
        <w:rPr>
          <w:color w:val="231F20"/>
          <w:spacing w:val="-7"/>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211" w:lineRule="auto"/>
        <w:ind w:left="727" w:right="1330"/>
      </w:pPr>
      <w:r>
        <w:rPr>
          <w:color w:val="3B957D"/>
        </w:rPr>
        <w:t>Actions the Boards have taken to achieve particular outcomes</w:t>
      </w:r>
    </w:p>
    <w:p>
      <w:pPr>
        <w:pStyle w:val="BodyText"/>
        <w:spacing w:line="230" w:lineRule="auto" w:before="236"/>
        <w:ind w:left="727" w:right="162"/>
      </w:pPr>
      <w:r>
        <w:rPr>
          <w:color w:val="231F20"/>
        </w:rPr>
        <w:t>It would be difficult to comment on the adequacy and effectiveness of safeguarding arrangements without knowing the clear goals of each Board. The expectation that Regional Boards will set out the specifics of what they are willing to be held accountable to achieve is demonstrated in the following table. The emphasis is on activity and some activities are closer to positively intervening in the lives of children and adults at risk than others. There is a very strong focus on the functioning of the Boards and the Business Units.</w:t>
      </w:r>
    </w:p>
    <w:p>
      <w:pPr>
        <w:pStyle w:val="BodyText"/>
        <w:spacing w:before="4"/>
      </w:pPr>
    </w:p>
    <w:tbl>
      <w:tblPr>
        <w:tblW w:w="0" w:type="auto"/>
        <w:jc w:val="left"/>
        <w:tblInd w:w="7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2"/>
        <w:gridCol w:w="8275"/>
      </w:tblGrid>
      <w:tr>
        <w:trPr>
          <w:trHeight w:val="663" w:hRule="atLeast"/>
        </w:trPr>
        <w:tc>
          <w:tcPr>
            <w:tcW w:w="1692" w:type="dxa"/>
            <w:tcBorders>
              <w:top w:val="nil"/>
              <w:left w:val="nil"/>
            </w:tcBorders>
            <w:shd w:val="clear" w:color="auto" w:fill="399279"/>
          </w:tcPr>
          <w:p>
            <w:pPr>
              <w:pStyle w:val="TableParagraph"/>
              <w:rPr>
                <w:rFonts w:ascii="Times New Roman"/>
                <w:sz w:val="22"/>
              </w:rPr>
            </w:pPr>
          </w:p>
        </w:tc>
        <w:tc>
          <w:tcPr>
            <w:tcW w:w="8275" w:type="dxa"/>
            <w:tcBorders>
              <w:top w:val="nil"/>
              <w:right w:val="nil"/>
            </w:tcBorders>
            <w:shd w:val="clear" w:color="auto" w:fill="399279"/>
          </w:tcPr>
          <w:p>
            <w:pPr>
              <w:pStyle w:val="TableParagraph"/>
              <w:spacing w:before="226"/>
              <w:ind w:left="216"/>
              <w:rPr>
                <w:rFonts w:ascii="Avenir"/>
                <w:b/>
                <w:sz w:val="22"/>
              </w:rPr>
            </w:pPr>
            <w:r>
              <w:rPr>
                <w:rFonts w:ascii="Avenir"/>
                <w:b/>
                <w:color w:val="FFFFFF"/>
                <w:sz w:val="22"/>
              </w:rPr>
              <w:t>Actions and Outcomes</w:t>
            </w:r>
          </w:p>
        </w:tc>
      </w:tr>
      <w:tr>
        <w:trPr>
          <w:trHeight w:val="933" w:hRule="atLeast"/>
        </w:trPr>
        <w:tc>
          <w:tcPr>
            <w:tcW w:w="1692" w:type="dxa"/>
            <w:tcBorders>
              <w:left w:val="nil"/>
            </w:tcBorders>
            <w:shd w:val="clear" w:color="auto" w:fill="399279"/>
          </w:tcPr>
          <w:p>
            <w:pPr>
              <w:pStyle w:val="TableParagraph"/>
              <w:spacing w:line="290" w:lineRule="exact" w:before="216"/>
              <w:ind w:right="215"/>
              <w:jc w:val="right"/>
              <w:rPr>
                <w:rFonts w:ascii="Avenir"/>
                <w:b/>
                <w:sz w:val="22"/>
              </w:rPr>
            </w:pPr>
            <w:r>
              <w:rPr>
                <w:rFonts w:ascii="Avenir"/>
                <w:b/>
                <w:color w:val="FFFFFF"/>
                <w:sz w:val="22"/>
              </w:rPr>
              <w:t>Cardiff</w:t>
            </w:r>
            <w:r>
              <w:rPr>
                <w:rFonts w:ascii="Avenir"/>
                <w:b/>
                <w:color w:val="FFFFFF"/>
                <w:spacing w:val="-8"/>
                <w:sz w:val="22"/>
              </w:rPr>
              <w:t> </w:t>
            </w:r>
            <w:r>
              <w:rPr>
                <w:rFonts w:ascii="Avenir"/>
                <w:b/>
                <w:color w:val="FFFFFF"/>
                <w:sz w:val="22"/>
              </w:rPr>
              <w:t>and</w:t>
            </w:r>
          </w:p>
          <w:p>
            <w:pPr>
              <w:pStyle w:val="TableParagraph"/>
              <w:spacing w:line="290" w:lineRule="exact"/>
              <w:ind w:right="215"/>
              <w:jc w:val="right"/>
              <w:rPr>
                <w:rFonts w:ascii="Avenir"/>
                <w:b/>
                <w:sz w:val="22"/>
              </w:rPr>
            </w:pPr>
            <w:r>
              <w:rPr>
                <w:rFonts w:ascii="Avenir"/>
                <w:b/>
                <w:color w:val="FFFFFF"/>
                <w:spacing w:val="-4"/>
                <w:sz w:val="22"/>
              </w:rPr>
              <w:t>Vale</w:t>
            </w:r>
          </w:p>
        </w:tc>
        <w:tc>
          <w:tcPr>
            <w:tcW w:w="8275" w:type="dxa"/>
            <w:tcBorders>
              <w:right w:val="nil"/>
            </w:tcBorders>
            <w:shd w:val="clear" w:color="auto" w:fill="399279"/>
          </w:tcPr>
          <w:p>
            <w:pPr>
              <w:pStyle w:val="TableParagraph"/>
              <w:spacing w:before="216"/>
              <w:ind w:left="216"/>
              <w:rPr>
                <w:sz w:val="22"/>
              </w:rPr>
            </w:pPr>
            <w:r>
              <w:rPr>
                <w:color w:val="FFFFFF"/>
                <w:sz w:val="22"/>
              </w:rPr>
              <w:t>Not completed</w:t>
            </w:r>
          </w:p>
        </w:tc>
      </w:tr>
      <w:tr>
        <w:trPr>
          <w:trHeight w:val="1773" w:hRule="atLeast"/>
        </w:trPr>
        <w:tc>
          <w:tcPr>
            <w:tcW w:w="1692" w:type="dxa"/>
            <w:tcBorders>
              <w:left w:val="nil"/>
            </w:tcBorders>
            <w:shd w:val="clear" w:color="auto" w:fill="399279"/>
          </w:tcPr>
          <w:p>
            <w:pPr>
              <w:pStyle w:val="TableParagraph"/>
              <w:spacing w:before="216"/>
              <w:ind w:right="215"/>
              <w:jc w:val="right"/>
              <w:rPr>
                <w:rFonts w:ascii="Avenir"/>
                <w:b/>
                <w:sz w:val="22"/>
              </w:rPr>
            </w:pPr>
            <w:r>
              <w:rPr>
                <w:rFonts w:ascii="Avenir"/>
                <w:b/>
                <w:color w:val="FFFFFF"/>
                <w:sz w:val="22"/>
              </w:rPr>
              <w:t>Cwm Taf</w:t>
            </w:r>
          </w:p>
        </w:tc>
        <w:tc>
          <w:tcPr>
            <w:tcW w:w="8275" w:type="dxa"/>
            <w:tcBorders>
              <w:right w:val="nil"/>
            </w:tcBorders>
            <w:shd w:val="clear" w:color="auto" w:fill="399279"/>
          </w:tcPr>
          <w:p>
            <w:pPr>
              <w:pStyle w:val="TableParagraph"/>
              <w:spacing w:line="223" w:lineRule="auto" w:before="232"/>
              <w:ind w:left="216"/>
              <w:rPr>
                <w:sz w:val="22"/>
              </w:rPr>
            </w:pPr>
            <w:r>
              <w:rPr>
                <w:rFonts w:ascii="Avenir"/>
                <w:b/>
                <w:color w:val="FFFFFF"/>
                <w:sz w:val="22"/>
              </w:rPr>
              <w:t>Enhanced collaboration </w:t>
            </w:r>
            <w:r>
              <w:rPr>
                <w:color w:val="FFFFFF"/>
                <w:sz w:val="22"/>
              </w:rPr>
              <w:t>across children and adults safeguarding; </w:t>
            </w:r>
            <w:r>
              <w:rPr>
                <w:rFonts w:ascii="Avenir"/>
                <w:b/>
                <w:color w:val="FFFFFF"/>
                <w:sz w:val="22"/>
              </w:rPr>
              <w:t>coordinated and monitored the activities of each partner </w:t>
            </w:r>
            <w:r>
              <w:rPr>
                <w:color w:val="FFFFFF"/>
                <w:sz w:val="22"/>
              </w:rPr>
              <w:t>via the work plan and reviews; </w:t>
            </w:r>
            <w:r>
              <w:rPr>
                <w:rFonts w:ascii="Avenir"/>
                <w:b/>
                <w:color w:val="FFFFFF"/>
                <w:sz w:val="22"/>
              </w:rPr>
              <w:t>created a performance management framework </w:t>
            </w:r>
            <w:r>
              <w:rPr>
                <w:color w:val="FFFFFF"/>
                <w:sz w:val="22"/>
              </w:rPr>
              <w:t>for the sub groups; </w:t>
            </w:r>
            <w:r>
              <w:rPr>
                <w:rFonts w:ascii="Avenir"/>
                <w:b/>
                <w:color w:val="FFFFFF"/>
                <w:sz w:val="22"/>
              </w:rPr>
              <w:t>and increased the capacity of the Business Unit </w:t>
            </w:r>
            <w:r>
              <w:rPr>
                <w:color w:val="FFFFFF"/>
                <w:sz w:val="22"/>
              </w:rPr>
              <w:t>to support the Multi Agency Safeguarding Hub (MASH) and the coordination of reviews</w:t>
            </w:r>
          </w:p>
        </w:tc>
      </w:tr>
      <w:tr>
        <w:trPr>
          <w:trHeight w:val="3453" w:hRule="atLeast"/>
        </w:trPr>
        <w:tc>
          <w:tcPr>
            <w:tcW w:w="1692" w:type="dxa"/>
            <w:tcBorders>
              <w:left w:val="nil"/>
            </w:tcBorders>
            <w:shd w:val="clear" w:color="auto" w:fill="399279"/>
          </w:tcPr>
          <w:p>
            <w:pPr>
              <w:pStyle w:val="TableParagraph"/>
              <w:spacing w:before="216"/>
              <w:ind w:right="215"/>
              <w:jc w:val="right"/>
              <w:rPr>
                <w:rFonts w:ascii="Avenir"/>
                <w:b/>
                <w:sz w:val="22"/>
              </w:rPr>
            </w:pPr>
            <w:r>
              <w:rPr>
                <w:rFonts w:ascii="Avenir"/>
                <w:b/>
                <w:color w:val="FFFFFF"/>
                <w:sz w:val="22"/>
              </w:rPr>
              <w:t>Gwent</w:t>
            </w:r>
          </w:p>
        </w:tc>
        <w:tc>
          <w:tcPr>
            <w:tcW w:w="8275" w:type="dxa"/>
            <w:tcBorders>
              <w:right w:val="nil"/>
            </w:tcBorders>
            <w:shd w:val="clear" w:color="auto" w:fill="399279"/>
          </w:tcPr>
          <w:p>
            <w:pPr>
              <w:pStyle w:val="TableParagraph"/>
              <w:spacing w:line="223" w:lineRule="auto" w:before="232"/>
              <w:ind w:left="216" w:right="128"/>
              <w:rPr>
                <w:sz w:val="22"/>
              </w:rPr>
            </w:pPr>
            <w:r>
              <w:rPr>
                <w:rFonts w:ascii="Avenir" w:hAnsi="Avenir"/>
                <w:b/>
                <w:color w:val="FFFFFF"/>
                <w:sz w:val="22"/>
              </w:rPr>
              <w:t>Combined workstreams </w:t>
            </w:r>
            <w:r>
              <w:rPr>
                <w:color w:val="FFFFFF"/>
                <w:sz w:val="22"/>
              </w:rPr>
              <w:t>across children and adults Boards to ensure good communication; </w:t>
            </w:r>
            <w:r>
              <w:rPr>
                <w:rFonts w:ascii="Avenir" w:hAnsi="Avenir"/>
                <w:b/>
                <w:color w:val="FFFFFF"/>
                <w:sz w:val="22"/>
              </w:rPr>
              <w:t>connected work plans with the annual strategic plan</w:t>
            </w:r>
            <w:r>
              <w:rPr>
                <w:color w:val="FFFFFF"/>
                <w:sz w:val="22"/>
              </w:rPr>
              <w:t>; </w:t>
            </w:r>
            <w:r>
              <w:rPr>
                <w:rFonts w:ascii="Avenir" w:hAnsi="Avenir"/>
                <w:b/>
                <w:color w:val="FFFFFF"/>
                <w:sz w:val="22"/>
              </w:rPr>
              <w:t>involved practitioners in the work of the Boards</w:t>
            </w:r>
            <w:r>
              <w:rPr>
                <w:color w:val="FFFFFF"/>
                <w:sz w:val="22"/>
              </w:rPr>
              <w:t>; </w:t>
            </w:r>
            <w:r>
              <w:rPr>
                <w:rFonts w:ascii="Avenir" w:hAnsi="Avenir"/>
                <w:b/>
                <w:color w:val="FFFFFF"/>
                <w:sz w:val="22"/>
              </w:rPr>
              <w:t>developed a Quality Assurance framework </w:t>
            </w:r>
            <w:r>
              <w:rPr>
                <w:color w:val="FFFFFF"/>
                <w:sz w:val="22"/>
              </w:rPr>
              <w:t>to provide a “snapshot” of safeguarding; </w:t>
            </w:r>
            <w:r>
              <w:rPr>
                <w:rFonts w:ascii="Avenir" w:hAnsi="Avenir"/>
                <w:b/>
                <w:color w:val="FFFFFF"/>
                <w:sz w:val="22"/>
              </w:rPr>
              <w:t>developed, delivered and commissioned a training programme </w:t>
            </w:r>
            <w:r>
              <w:rPr>
                <w:color w:val="FFFFFF"/>
                <w:sz w:val="22"/>
              </w:rPr>
              <w:t>to raise awareness of safeguarding; </w:t>
            </w:r>
            <w:r>
              <w:rPr>
                <w:rFonts w:ascii="Avenir" w:hAnsi="Avenir"/>
                <w:b/>
                <w:color w:val="FFFFFF"/>
                <w:sz w:val="22"/>
              </w:rPr>
              <w:t>piloted a hybrid Domestic Homicide Review process </w:t>
            </w:r>
            <w:r>
              <w:rPr>
                <w:color w:val="FFFFFF"/>
                <w:sz w:val="22"/>
              </w:rPr>
              <w:t>to ensure their relevance; </w:t>
            </w:r>
            <w:r>
              <w:rPr>
                <w:rFonts w:ascii="Avenir" w:hAnsi="Avenir"/>
                <w:b/>
                <w:color w:val="FFFFFF"/>
                <w:sz w:val="22"/>
              </w:rPr>
              <w:t>sought the views of people across ages on a number of topics</w:t>
            </w:r>
            <w:r>
              <w:rPr>
                <w:color w:val="FFFFFF"/>
                <w:sz w:val="22"/>
              </w:rPr>
              <w:t>; </w:t>
            </w:r>
            <w:r>
              <w:rPr>
                <w:rFonts w:ascii="Avenir" w:hAnsi="Avenir"/>
                <w:b/>
                <w:color w:val="FFFFFF"/>
                <w:sz w:val="22"/>
              </w:rPr>
              <w:t>worked with the Regional Partnership Board </w:t>
            </w:r>
            <w:r>
              <w:rPr>
                <w:color w:val="FFFFFF"/>
                <w:sz w:val="22"/>
              </w:rPr>
              <w:t>to promote advocacy in adult services; and been </w:t>
            </w:r>
            <w:r>
              <w:rPr>
                <w:rFonts w:ascii="Avenir" w:hAnsi="Avenir"/>
                <w:b/>
                <w:color w:val="FFFFFF"/>
                <w:sz w:val="22"/>
              </w:rPr>
              <w:t>involved in the production of the regional strategy document</w:t>
            </w:r>
            <w:r>
              <w:rPr>
                <w:color w:val="FFFFFF"/>
                <w:sz w:val="22"/>
              </w:rPr>
              <w:t>: Violence Against Women, Domestic Abuse and Sexual Violence (VAWDASV)</w:t>
            </w:r>
          </w:p>
        </w:tc>
      </w:tr>
      <w:tr>
        <w:trPr>
          <w:trHeight w:val="2343" w:hRule="atLeast"/>
        </w:trPr>
        <w:tc>
          <w:tcPr>
            <w:tcW w:w="1692" w:type="dxa"/>
            <w:tcBorders>
              <w:left w:val="nil"/>
              <w:bottom w:val="nil"/>
            </w:tcBorders>
            <w:shd w:val="clear" w:color="auto" w:fill="399279"/>
          </w:tcPr>
          <w:p>
            <w:pPr>
              <w:pStyle w:val="TableParagraph"/>
              <w:spacing w:line="223" w:lineRule="auto" w:before="232"/>
              <w:ind w:left="250" w:firstLine="362"/>
              <w:rPr>
                <w:rFonts w:ascii="Avenir"/>
                <w:b/>
                <w:sz w:val="22"/>
              </w:rPr>
            </w:pPr>
            <w:r>
              <w:rPr>
                <w:rFonts w:ascii="Avenir"/>
                <w:b/>
                <w:color w:val="FFFFFF"/>
                <w:sz w:val="22"/>
              </w:rPr>
              <w:t>Mid and West Wales</w:t>
            </w:r>
          </w:p>
        </w:tc>
        <w:tc>
          <w:tcPr>
            <w:tcW w:w="8275" w:type="dxa"/>
            <w:tcBorders>
              <w:bottom w:val="nil"/>
              <w:right w:val="nil"/>
            </w:tcBorders>
            <w:shd w:val="clear" w:color="auto" w:fill="399279"/>
          </w:tcPr>
          <w:p>
            <w:pPr>
              <w:pStyle w:val="TableParagraph"/>
              <w:spacing w:line="228" w:lineRule="auto" w:before="227"/>
              <w:ind w:left="216" w:right="445"/>
              <w:rPr>
                <w:rFonts w:ascii="Avenir" w:hAnsi="Avenir"/>
                <w:b/>
                <w:sz w:val="22"/>
              </w:rPr>
            </w:pPr>
            <w:r>
              <w:rPr>
                <w:rFonts w:ascii="Avenir" w:hAnsi="Avenir"/>
                <w:b/>
                <w:color w:val="FFFFFF"/>
                <w:sz w:val="22"/>
              </w:rPr>
              <w:t>Combined governance structures and a cross-cutting agenda </w:t>
            </w:r>
            <w:r>
              <w:rPr>
                <w:color w:val="FFFFFF"/>
                <w:sz w:val="22"/>
              </w:rPr>
              <w:t>for the executive boards to strengthen the strategic relationship between the children and adults boards; </w:t>
            </w:r>
            <w:r>
              <w:rPr>
                <w:rFonts w:ascii="Avenir" w:hAnsi="Avenir"/>
                <w:b/>
                <w:color w:val="FFFFFF"/>
                <w:sz w:val="22"/>
              </w:rPr>
              <w:t>implemented a regional quality assurance and performance reporting framework </w:t>
            </w:r>
            <w:r>
              <w:rPr>
                <w:color w:val="FFFFFF"/>
                <w:sz w:val="22"/>
              </w:rPr>
              <w:t>“to better understand safeguarding practice;” developed a framework for undertaking Multi-Agency Professional Forums to ensure consistency, support reflective learning and share good practice; and </w:t>
            </w:r>
            <w:r>
              <w:rPr>
                <w:rFonts w:ascii="Avenir" w:hAnsi="Avenir"/>
                <w:b/>
                <w:color w:val="FFFFFF"/>
                <w:sz w:val="22"/>
              </w:rPr>
              <w:t>embedded and strengthened the governance of VAWDASV</w:t>
            </w:r>
          </w:p>
        </w:tc>
      </w:tr>
    </w:tbl>
    <w:p>
      <w:pPr>
        <w:spacing w:after="0" w:line="228" w:lineRule="auto"/>
        <w:rPr>
          <w:rFonts w:ascii="Avenir" w:hAnsi="Avenir"/>
          <w:sz w:val="22"/>
        </w:rPr>
        <w:sectPr>
          <w:pgSz w:w="11910" w:h="16840"/>
          <w:pgMar w:top="0" w:bottom="0" w:left="520" w:right="520"/>
        </w:sectPr>
      </w:pPr>
    </w:p>
    <w:p>
      <w:pPr>
        <w:pStyle w:val="BodyText"/>
        <w:rPr>
          <w:sz w:val="20"/>
        </w:rPr>
      </w:pPr>
      <w:r>
        <w:rPr/>
        <w:pict>
          <v:rect style="position:absolute;margin-left:566.929016pt;margin-top:0pt;width:28.347001pt;height:841.890015pt;mso-position-horizontal-relative:page;mso-position-vertical-relative:page;z-index:15737856" filled="true" fillcolor="#3b957d" stroked="false">
            <v:fill type="solid"/>
            <w10:wrap type="none"/>
          </v:rect>
        </w:pict>
      </w:r>
      <w:r>
        <w:rPr/>
        <w:pict>
          <v:shape style="position:absolute;margin-left:573.765198pt;margin-top:182.052719pt;width:15.7pt;height:477.8pt;mso-position-horizontal-relative:page;mso-position-vertical-relative:page;z-index:15738368"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138" w:val="right" w:leader="none"/>
        </w:tabs>
        <w:spacing w:before="100"/>
        <w:ind w:left="160" w:right="0" w:firstLine="0"/>
        <w:jc w:val="left"/>
        <w:rPr>
          <w:sz w:val="16"/>
        </w:rPr>
      </w:pPr>
      <w:r>
        <w:rPr>
          <w:color w:val="231F20"/>
          <w:sz w:val="16"/>
        </w:rPr>
        <w:t>Annual Report 2017-18</w:t>
        <w:tab/>
        <w:t>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tbl>
      <w:tblPr>
        <w:tblW w:w="0" w:type="auto"/>
        <w:jc w:val="left"/>
        <w:tblInd w:w="1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2"/>
        <w:gridCol w:w="8275"/>
      </w:tblGrid>
      <w:tr>
        <w:trPr>
          <w:trHeight w:val="663" w:hRule="atLeast"/>
        </w:trPr>
        <w:tc>
          <w:tcPr>
            <w:tcW w:w="1692" w:type="dxa"/>
            <w:tcBorders>
              <w:top w:val="nil"/>
              <w:left w:val="nil"/>
            </w:tcBorders>
            <w:shd w:val="clear" w:color="auto" w:fill="399279"/>
          </w:tcPr>
          <w:p>
            <w:pPr>
              <w:pStyle w:val="TableParagraph"/>
              <w:rPr>
                <w:rFonts w:ascii="Times New Roman"/>
                <w:sz w:val="20"/>
              </w:rPr>
            </w:pPr>
          </w:p>
        </w:tc>
        <w:tc>
          <w:tcPr>
            <w:tcW w:w="8275" w:type="dxa"/>
            <w:tcBorders>
              <w:top w:val="nil"/>
              <w:right w:val="nil"/>
            </w:tcBorders>
            <w:shd w:val="clear" w:color="auto" w:fill="399279"/>
          </w:tcPr>
          <w:p>
            <w:pPr>
              <w:pStyle w:val="TableParagraph"/>
              <w:spacing w:before="226"/>
              <w:ind w:left="216"/>
              <w:rPr>
                <w:rFonts w:ascii="Avenir"/>
                <w:b/>
                <w:sz w:val="22"/>
              </w:rPr>
            </w:pPr>
            <w:r>
              <w:rPr>
                <w:rFonts w:ascii="Avenir"/>
                <w:b/>
                <w:color w:val="FFFFFF"/>
                <w:sz w:val="22"/>
              </w:rPr>
              <w:t>Actions and Outcomes</w:t>
            </w:r>
          </w:p>
        </w:tc>
      </w:tr>
      <w:tr>
        <w:trPr>
          <w:trHeight w:val="3733" w:hRule="atLeast"/>
        </w:trPr>
        <w:tc>
          <w:tcPr>
            <w:tcW w:w="1692" w:type="dxa"/>
            <w:tcBorders>
              <w:left w:val="nil"/>
            </w:tcBorders>
            <w:shd w:val="clear" w:color="auto" w:fill="399279"/>
          </w:tcPr>
          <w:p>
            <w:pPr>
              <w:pStyle w:val="TableParagraph"/>
              <w:spacing w:line="223" w:lineRule="auto" w:before="232"/>
              <w:ind w:left="849" w:hanging="4"/>
              <w:rPr>
                <w:rFonts w:ascii="Avenir"/>
                <w:b/>
                <w:sz w:val="22"/>
              </w:rPr>
            </w:pPr>
            <w:r>
              <w:rPr>
                <w:rFonts w:ascii="Avenir"/>
                <w:b/>
                <w:color w:val="FFFFFF"/>
                <w:sz w:val="22"/>
              </w:rPr>
              <w:t>North Wales</w:t>
            </w:r>
          </w:p>
        </w:tc>
        <w:tc>
          <w:tcPr>
            <w:tcW w:w="8275" w:type="dxa"/>
            <w:tcBorders>
              <w:right w:val="nil"/>
            </w:tcBorders>
            <w:shd w:val="clear" w:color="auto" w:fill="399279"/>
          </w:tcPr>
          <w:p>
            <w:pPr>
              <w:pStyle w:val="TableParagraph"/>
              <w:spacing w:line="223" w:lineRule="auto" w:before="232"/>
              <w:ind w:left="216" w:right="445"/>
              <w:rPr>
                <w:sz w:val="22"/>
              </w:rPr>
            </w:pPr>
            <w:r>
              <w:rPr>
                <w:rFonts w:ascii="Avenir" w:hAnsi="Avenir"/>
                <w:b/>
                <w:color w:val="FFFFFF"/>
                <w:sz w:val="22"/>
              </w:rPr>
              <w:t>Ensured a fully staffed Business Unit </w:t>
            </w:r>
            <w:r>
              <w:rPr>
                <w:color w:val="FFFFFF"/>
                <w:sz w:val="22"/>
              </w:rPr>
              <w:t>to enhance the Boards’ performance in terms of preparing induction packs for Board members, creating a quality</w:t>
            </w:r>
          </w:p>
          <w:p>
            <w:pPr>
              <w:pStyle w:val="TableParagraph"/>
              <w:spacing w:line="225" w:lineRule="auto" w:before="7"/>
              <w:ind w:left="216" w:right="128"/>
              <w:rPr>
                <w:sz w:val="22"/>
              </w:rPr>
            </w:pPr>
            <w:r>
              <w:rPr>
                <w:color w:val="FFFFFF"/>
                <w:sz w:val="22"/>
              </w:rPr>
              <w:t>assistance framework and updating the Boards’ complaints policy for example; </w:t>
            </w:r>
            <w:r>
              <w:rPr>
                <w:rFonts w:ascii="Avenir" w:hAnsi="Avenir"/>
                <w:b/>
                <w:color w:val="FFFFFF"/>
                <w:sz w:val="22"/>
              </w:rPr>
              <w:t>contributed to the development of the All Wales Procedures</w:t>
            </w:r>
            <w:r>
              <w:rPr>
                <w:color w:val="FFFFFF"/>
                <w:sz w:val="22"/>
              </w:rPr>
              <w:t>; </w:t>
            </w:r>
            <w:r>
              <w:rPr>
                <w:rFonts w:ascii="Avenir" w:hAnsi="Avenir"/>
                <w:b/>
                <w:color w:val="FFFFFF"/>
                <w:sz w:val="22"/>
              </w:rPr>
              <w:t>reviewed performance data </w:t>
            </w:r>
            <w:r>
              <w:rPr>
                <w:color w:val="FFFFFF"/>
                <w:sz w:val="22"/>
              </w:rPr>
              <w:t>about Child/ Adult at Risk practice and used this to (i) scrutinise individual partner agency reports and (ii) inform assessments of adults at risk and planning; </w:t>
            </w:r>
            <w:r>
              <w:rPr>
                <w:rFonts w:ascii="Avenir" w:hAnsi="Avenir"/>
                <w:b/>
                <w:color w:val="FFFFFF"/>
                <w:sz w:val="22"/>
              </w:rPr>
              <w:t>hosted presentations </w:t>
            </w:r>
            <w:r>
              <w:rPr>
                <w:color w:val="FFFFFF"/>
                <w:sz w:val="22"/>
              </w:rPr>
              <w:t>from local and national agencies to inform learning; routinely </w:t>
            </w:r>
            <w:r>
              <w:rPr>
                <w:rFonts w:ascii="Avenir" w:hAnsi="Avenir"/>
                <w:b/>
                <w:color w:val="FFFFFF"/>
                <w:sz w:val="22"/>
              </w:rPr>
              <w:t>sought information about safeguarding practice </w:t>
            </w:r>
            <w:r>
              <w:rPr>
                <w:color w:val="FFFFFF"/>
                <w:sz w:val="22"/>
              </w:rPr>
              <w:t>at Tawel Fan; </w:t>
            </w:r>
            <w:r>
              <w:rPr>
                <w:rFonts w:ascii="Avenir" w:hAnsi="Avenir"/>
                <w:b/>
                <w:color w:val="FFFFFF"/>
                <w:sz w:val="22"/>
              </w:rPr>
              <w:t>abstracted themes from Practice Reviews </w:t>
            </w:r>
            <w:r>
              <w:rPr>
                <w:color w:val="FFFFFF"/>
                <w:sz w:val="22"/>
              </w:rPr>
              <w:t>for practitioners: e.g. timeliness of pre-birth referrals, disguised compliance, working with hospital/ uncooperative families and Direct Payments and safeguarding; and </w:t>
            </w:r>
            <w:r>
              <w:rPr>
                <w:rFonts w:ascii="Avenir" w:hAnsi="Avenir"/>
                <w:b/>
                <w:color w:val="FFFFFF"/>
                <w:sz w:val="22"/>
              </w:rPr>
              <w:t>undertaken a training needs analysis </w:t>
            </w:r>
            <w:r>
              <w:rPr>
                <w:color w:val="FFFFFF"/>
                <w:sz w:val="22"/>
              </w:rPr>
              <w:t>to identify gaps in safeguarding training</w:t>
            </w:r>
          </w:p>
        </w:tc>
      </w:tr>
      <w:tr>
        <w:trPr>
          <w:trHeight w:val="2063" w:hRule="atLeast"/>
        </w:trPr>
        <w:tc>
          <w:tcPr>
            <w:tcW w:w="1692" w:type="dxa"/>
            <w:tcBorders>
              <w:left w:val="nil"/>
              <w:bottom w:val="nil"/>
            </w:tcBorders>
            <w:shd w:val="clear" w:color="auto" w:fill="399279"/>
          </w:tcPr>
          <w:p>
            <w:pPr>
              <w:pStyle w:val="TableParagraph"/>
              <w:spacing w:line="290" w:lineRule="exact" w:before="216"/>
              <w:ind w:left="585"/>
              <w:rPr>
                <w:rFonts w:ascii="Avenir"/>
                <w:b/>
                <w:sz w:val="22"/>
              </w:rPr>
            </w:pPr>
            <w:r>
              <w:rPr>
                <w:rFonts w:ascii="Avenir"/>
                <w:b/>
                <w:color w:val="FFFFFF"/>
                <w:sz w:val="22"/>
              </w:rPr>
              <w:t>Western</w:t>
            </w:r>
          </w:p>
          <w:p>
            <w:pPr>
              <w:pStyle w:val="TableParagraph"/>
              <w:spacing w:line="290" w:lineRule="exact"/>
              <w:ind w:left="1081"/>
              <w:rPr>
                <w:rFonts w:ascii="Avenir"/>
                <w:b/>
                <w:sz w:val="22"/>
              </w:rPr>
            </w:pPr>
            <w:r>
              <w:rPr>
                <w:rFonts w:ascii="Avenir"/>
                <w:b/>
                <w:color w:val="FFFFFF"/>
                <w:sz w:val="22"/>
              </w:rPr>
              <w:t>Bay</w:t>
            </w:r>
          </w:p>
        </w:tc>
        <w:tc>
          <w:tcPr>
            <w:tcW w:w="8275" w:type="dxa"/>
            <w:tcBorders>
              <w:bottom w:val="nil"/>
              <w:right w:val="nil"/>
            </w:tcBorders>
            <w:shd w:val="clear" w:color="auto" w:fill="399279"/>
          </w:tcPr>
          <w:p>
            <w:pPr>
              <w:pStyle w:val="TableParagraph"/>
              <w:spacing w:line="223" w:lineRule="auto" w:before="232"/>
              <w:ind w:left="216" w:right="445"/>
              <w:rPr>
                <w:sz w:val="22"/>
              </w:rPr>
            </w:pPr>
            <w:r>
              <w:rPr>
                <w:color w:val="FFFFFF"/>
                <w:sz w:val="22"/>
              </w:rPr>
              <w:t>The Boards and management groups have </w:t>
            </w:r>
            <w:r>
              <w:rPr>
                <w:rFonts w:ascii="Avenir" w:hAnsi="Avenir"/>
                <w:b/>
                <w:color w:val="FFFFFF"/>
                <w:sz w:val="22"/>
              </w:rPr>
              <w:t>terms of reference </w:t>
            </w:r>
            <w:r>
              <w:rPr>
                <w:color w:val="FFFFFF"/>
                <w:sz w:val="22"/>
              </w:rPr>
              <w:t>which </w:t>
            </w:r>
            <w:r>
              <w:rPr>
                <w:rFonts w:ascii="Avenir" w:hAnsi="Avenir"/>
                <w:b/>
                <w:color w:val="FFFFFF"/>
                <w:sz w:val="22"/>
              </w:rPr>
              <w:t>are reviewed annually </w:t>
            </w:r>
            <w:r>
              <w:rPr>
                <w:color w:val="FFFFFF"/>
                <w:sz w:val="22"/>
              </w:rPr>
              <w:t>and all Board members </w:t>
            </w:r>
            <w:r>
              <w:rPr>
                <w:rFonts w:ascii="Avenir" w:hAnsi="Avenir"/>
                <w:b/>
                <w:color w:val="FFFFFF"/>
                <w:sz w:val="22"/>
              </w:rPr>
              <w:t>have a role profile </w:t>
            </w:r>
            <w:r>
              <w:rPr>
                <w:color w:val="FFFFFF"/>
                <w:sz w:val="22"/>
              </w:rPr>
              <w:t>which they sign to ensure commitment to the Board’s work; the Boards </w:t>
            </w:r>
            <w:r>
              <w:rPr>
                <w:rFonts w:ascii="Avenir" w:hAnsi="Avenir"/>
                <w:b/>
                <w:color w:val="FFFFFF"/>
                <w:sz w:val="22"/>
              </w:rPr>
              <w:t>have a Policy Procedure Practice Management Group, a Quality Performance and Monitoring Group and a single, Joint Training Management Group </w:t>
            </w:r>
            <w:r>
              <w:rPr>
                <w:color w:val="FFFFFF"/>
                <w:sz w:val="22"/>
              </w:rPr>
              <w:t>to address the Boards’ functions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r>
        <w:rPr/>
        <w:pict>
          <v:group style="position:absolute;margin-left:116.233704pt;margin-top:16.6724pt;width:416.7pt;height:114.05pt;mso-position-horizontal-relative:page;mso-position-vertical-relative:paragraph;z-index:-15719936;mso-wrap-distance-left:0;mso-wrap-distance-right:0" coordorigin="2325,333" coordsize="8334,2281">
            <v:shape style="position:absolute;left:3033;top:418;width:7626;height:2126" coordorigin="3033,418" coordsize="7626,2126" path="m10091,418l3600,418,3272,427,3104,489,3042,657,3033,985,3033,1977,3042,2305,3104,2473,3272,2535,3600,2544,10091,2544,10419,2535,10587,2473,10649,2305,10658,1977,10658,985,10649,657,10587,489,10419,427,10091,418xe" filled="true" fillcolor="#3e77a4" stroked="false">
              <v:path arrowok="t"/>
              <v:fill type="solid"/>
            </v:shape>
            <v:shape style="position:absolute;left:2324;top:333;width:2281;height:2281" coordorigin="2325,333" coordsize="2281,2281" path="m3465,333l3390,336,3316,343,3244,355,3174,371,3105,392,3038,416,2973,445,2910,477,2850,514,2792,553,2736,597,2684,643,2634,693,2588,745,2545,800,2505,858,2469,919,2436,981,2407,1046,2383,1113,2362,1182,2346,1253,2334,1325,2327,1399,2325,1474,2327,1549,2334,1623,2346,1695,2362,1765,2383,1834,2407,1901,2436,1966,2469,2029,2505,2090,2545,2147,2588,2203,2634,2255,2684,2305,2736,2351,2792,2394,2850,2434,2910,2470,2973,2503,3038,2532,3105,2556,3174,2577,3244,2593,3316,2605,3390,2612,3465,2614,3540,2612,3614,2605,3686,2593,3757,2577,3826,2556,3893,2532,3958,2503,4020,2470,4081,2434,4139,2394,4194,2351,4246,2305,4296,2255,4342,2203,4386,2147,4425,2090,4462,2029,4494,1966,4523,1901,4547,1834,4568,1765,4584,1695,4596,1623,4603,1549,4606,1474,4603,1399,4596,1325,4584,1253,4568,1182,4547,1113,4523,1046,4494,981,4462,919,4425,858,4386,800,4342,745,4296,693,4246,643,4194,597,4139,553,4081,514,4020,477,3958,445,3893,416,3826,392,3757,371,3686,355,3614,343,3540,336,3465,333xe" filled="true" fillcolor="#d5583b" stroked="false">
              <v:path arrowok="t"/>
              <v:fill type="solid"/>
            </v:shape>
            <v:shape style="position:absolute;left:2756;top:552;width:1501;height:1781" coordorigin="2757,552" coordsize="1501,1781" path="m3109,1190l3101,1134,2985,1150,2993,1207,3109,1190xm3135,987l3033,934,3006,986,3108,1038,3135,987xm3175,1335l3143,1286,3047,1347,3078,1397,3175,1335xm3243,876l3179,789,3132,823,3196,910,3243,876xm3395,835l3380,733,3324,741,3339,843,3395,835xm3556,1618l3403,1640,3415,1650,3427,1659,3440,1667,3456,1677,3467,1677,3489,1675,3509,1668,3526,1656,3540,1638,3544,1632,3549,1626,3556,1618xm3567,1509l3563,1484,3553,1477,3363,1504,3356,1513,3359,1539,3369,1546,3464,1532,3559,1519,3567,1509xm3572,1581l3569,1554,3559,1547,3378,1573,3369,1583,3373,1609,3384,1616,3473,1603,3565,1590,3572,1581xm3585,759l3530,738,3493,840,3548,860,3585,759xm3647,1129l3644,1086,3629,1034,3606,988,3572,951,3527,921,3479,903,3431,895,3382,897,3333,907,3259,942,3205,994,3174,1058,3165,1132,3180,1210,3191,1237,3205,1263,3221,1288,3239,1311,3278,1361,3298,1387,3315,1415,3329,1445,3337,1477,3393,1469,3393,1464,3393,1459,3379,1421,3373,1405,3366,1389,3349,1359,3330,1332,3287,1278,3269,1255,3254,1232,3240,1206,3231,1179,3223,1123,3231,1071,3257,1024,3299,986,3327,970,3358,960,3389,954,3422,953,3489,968,3543,1005,3578,1060,3590,1128,3587,1159,3580,1189,3571,1219,3560,1248,3547,1278,3535,1308,3525,1338,3517,1370,3514,1390,3512,1411,3512,1431,3515,1452,3571,1444,3570,1404,3577,1366,3590,1329,3620,1254,3634,1213,3644,1171,3647,1129xm3751,879l3711,837,3628,916,3669,958,3751,879xm3812,1238l3703,1210,3689,1267,3798,1294,3812,1238xm3825,1088l3817,1032,3701,1048,3709,1104,3825,1088xm4258,1707l4256,1677,4204,1477,4204,1700,4044,1700,4044,1747,4043,1797,4043,1854,4043,1903,4044,1952,4037,1996,4015,2029,3982,2050,3941,2056,3861,2055,3781,2055,3621,2055,3596,2055,3596,2109,3723,2109,3757,2277,3054,2277,3054,2245,3054,2178,3051,2099,3046,2022,3037,1944,3024,1868,3007,1791,2985,1716,2962,1651,2936,1587,2910,1524,2883,1460,2869,1427,2855,1395,2841,1362,2828,1329,2821,1309,2817,1289,2814,1268,2812,1248,2815,1163,2827,1084,2848,1010,2878,941,2916,877,2963,818,3018,764,3082,716,3154,672,3220,642,3287,622,3357,610,3427,607,3499,610,3583,623,3659,645,3729,677,3793,717,3851,766,3902,823,3948,888,3989,961,4021,1033,4048,1107,4070,1183,4091,1259,4112,1343,4134,1428,4178,1596,4201,1686,4202,1691,4204,1700,4204,1477,4180,1381,4160,1308,4141,1234,4122,1160,4102,1090,4077,1022,4049,956,4015,892,3976,830,3929,770,3877,717,3821,671,3760,633,3705,607,3694,602,3624,578,3549,563,3473,552,3425,552,3388,556,3349,559,3329,561,3309,565,3233,584,3161,610,3095,643,3034,682,2978,727,2928,779,2882,837,2842,901,2808,972,2778,1054,2760,1138,2757,1223,2769,1309,2780,1349,2795,1389,2811,1428,2829,1466,2860,1537,2889,1609,2917,1681,2941,1754,2962,1828,2978,1903,2989,1981,2997,2069,3001,2157,3001,2245,2997,2333,3821,2333,3810,2277,3777,2109,3799,2109,3875,2110,3933,2109,3950,2109,4002,2099,4046,2073,4059,2056,4077,2033,4092,1982,4094,1940,4094,1903,4094,1754,4103,1753,4110,1753,4142,1753,4178,1753,4194,1753,4198,1753,4227,1747,4248,1731,4258,1707xe" filled="true" fillcolor="#ffffff" stroked="false">
              <v:path arrowok="t"/>
              <v:fill type="solid"/>
            </v:shape>
            <v:line style="position:absolute" from="4975,1062" to="10432,1062" stroked="true" strokeweight="1pt" strokecolor="#ffffff">
              <v:stroke dashstyle="solid"/>
            </v:line>
            <v:shape style="position:absolute;left:2324;top:333;width:8334;height:2281" type="#_x0000_t202" filled="false" stroked="false">
              <v:textbox inset="0,0,0,0">
                <w:txbxContent>
                  <w:p>
                    <w:pPr>
                      <w:spacing w:before="269"/>
                      <w:ind w:left="2650" w:right="0" w:firstLine="0"/>
                      <w:jc w:val="left"/>
                      <w:rPr>
                        <w:rFonts w:ascii="Avenir"/>
                        <w:b/>
                        <w:sz w:val="28"/>
                      </w:rPr>
                    </w:pPr>
                    <w:r>
                      <w:rPr>
                        <w:rFonts w:ascii="Avenir"/>
                        <w:b/>
                        <w:color w:val="FFFFFF"/>
                        <w:sz w:val="28"/>
                      </w:rPr>
                      <w:t>DID YOU KNOW?</w:t>
                    </w:r>
                  </w:p>
                  <w:p>
                    <w:pPr>
                      <w:spacing w:line="218" w:lineRule="auto" w:before="244"/>
                      <w:ind w:left="2650" w:right="245" w:firstLine="0"/>
                      <w:jc w:val="left"/>
                      <w:rPr>
                        <w:sz w:val="22"/>
                      </w:rPr>
                    </w:pPr>
                    <w:r>
                      <w:rPr>
                        <w:color w:val="FFFFFF"/>
                        <w:sz w:val="22"/>
                      </w:rPr>
                      <w:t>The question “What would happen if we </w:t>
                    </w:r>
                    <w:r>
                      <w:rPr>
                        <w:rFonts w:ascii="Avenir-BookOblique" w:hAnsi="Avenir-BookOblique"/>
                        <w:i/>
                        <w:color w:val="FFFFFF"/>
                        <w:sz w:val="22"/>
                      </w:rPr>
                      <w:t>didn’t </w:t>
                    </w:r>
                    <w:r>
                      <w:rPr>
                        <w:color w:val="FFFFFF"/>
                        <w:sz w:val="22"/>
                      </w:rPr>
                      <w:t>do XYZ?” is a powerful way of sorting out inputs and results - and their connectedness to safeguarding children, young people and adults.</w:t>
                    </w:r>
                  </w:p>
                </w:txbxContent>
              </v:textbox>
              <w10:wrap type="none"/>
            </v:shape>
            <w10:wrap type="topAndBottom"/>
          </v:group>
        </w:pict>
      </w:r>
    </w:p>
    <w:p>
      <w:pPr>
        <w:spacing w:after="0"/>
        <w:sectPr>
          <w:pgSz w:w="11910" w:h="16840"/>
          <w:pgMar w:top="0" w:bottom="0" w:left="520" w:right="520"/>
        </w:sectPr>
      </w:pPr>
    </w:p>
    <w:p>
      <w:pPr>
        <w:pStyle w:val="BodyText"/>
        <w:rPr>
          <w:sz w:val="20"/>
        </w:rPr>
      </w:pPr>
      <w:r>
        <w:rPr/>
        <w:pict>
          <v:rect style="position:absolute;margin-left:0pt;margin-top:0pt;width:28.346pt;height:841.890015pt;mso-position-horizontal-relative:page;mso-position-vertical-relative:page;z-index:-17838080" filled="true" fillcolor="#3b957d" stroked="false">
            <v:fill type="solid"/>
            <w10:wrap type="none"/>
          </v:rect>
        </w:pict>
      </w:r>
      <w:r>
        <w:rPr/>
        <w:pict>
          <v:shape style="position:absolute;margin-left:7.0315pt;margin-top:182.052505pt;width:15.7pt;height:477.8pt;mso-position-horizontal-relative:page;mso-position-vertical-relative:page;z-index:15739392"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7198" w:val="left" w:leader="none"/>
        </w:tabs>
        <w:spacing w:before="100"/>
        <w:ind w:left="727" w:right="0" w:firstLine="0"/>
        <w:jc w:val="left"/>
        <w:rPr>
          <w:sz w:val="16"/>
        </w:rPr>
      </w:pPr>
      <w:r>
        <w:rPr>
          <w:color w:val="231F20"/>
          <w:sz w:val="16"/>
        </w:rPr>
        <w:t>10</w:t>
        <w:tab/>
        <w:t>National Independent Safeguarding Board</w:t>
      </w:r>
      <w:r>
        <w:rPr>
          <w:color w:val="231F20"/>
          <w:spacing w:val="-7"/>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211" w:lineRule="auto"/>
        <w:ind w:left="727" w:right="1784"/>
      </w:pPr>
      <w:r>
        <w:rPr>
          <w:color w:val="3B957D"/>
        </w:rPr>
        <w:t>The extent to which the Safeguarding Boards have implemented their most recent annual plan with particulars of how far any specific proposed improvements were implemented</w:t>
      </w:r>
    </w:p>
    <w:p>
      <w:pPr>
        <w:pStyle w:val="BodyText"/>
        <w:spacing w:line="230" w:lineRule="auto" w:before="235"/>
        <w:ind w:left="727"/>
      </w:pPr>
      <w:r>
        <w:rPr>
          <w:color w:val="231F20"/>
        </w:rPr>
        <w:t>Bringing information together and organising resources are the characteristics of planning. Each year the Regional Boards are required to set out annual plans and report on their implementation. The following two tables combine aspirations to improve safeguarding and improve outcomes for children and adults at risk of harm.</w:t>
      </w:r>
    </w:p>
    <w:p>
      <w:pPr>
        <w:pStyle w:val="BodyText"/>
        <w:spacing w:before="3"/>
      </w:pPr>
    </w:p>
    <w:tbl>
      <w:tblPr>
        <w:tblW w:w="0" w:type="auto"/>
        <w:jc w:val="left"/>
        <w:tblInd w:w="7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63"/>
        <w:gridCol w:w="8515"/>
      </w:tblGrid>
      <w:tr>
        <w:trPr>
          <w:trHeight w:val="653" w:hRule="atLeast"/>
        </w:trPr>
        <w:tc>
          <w:tcPr>
            <w:tcW w:w="1463" w:type="dxa"/>
            <w:tcBorders>
              <w:left w:val="nil"/>
            </w:tcBorders>
            <w:shd w:val="clear" w:color="auto" w:fill="399279"/>
          </w:tcPr>
          <w:p>
            <w:pPr>
              <w:pStyle w:val="TableParagraph"/>
              <w:rPr>
                <w:rFonts w:ascii="Times New Roman"/>
                <w:sz w:val="22"/>
              </w:rPr>
            </w:pPr>
          </w:p>
        </w:tc>
        <w:tc>
          <w:tcPr>
            <w:tcW w:w="8515" w:type="dxa"/>
            <w:tcBorders>
              <w:right w:val="nil"/>
            </w:tcBorders>
            <w:shd w:val="clear" w:color="auto" w:fill="399279"/>
          </w:tcPr>
          <w:p>
            <w:pPr>
              <w:pStyle w:val="TableParagraph"/>
              <w:spacing w:before="216"/>
              <w:ind w:left="216"/>
              <w:rPr>
                <w:rFonts w:ascii="Avenir"/>
                <w:b/>
                <w:sz w:val="22"/>
              </w:rPr>
            </w:pPr>
            <w:r>
              <w:rPr>
                <w:rFonts w:ascii="Avenir"/>
                <w:b/>
                <w:color w:val="FFFFFF"/>
                <w:sz w:val="22"/>
              </w:rPr>
              <w:t>Priorities Set for Children during 2017</w:t>
            </w:r>
          </w:p>
        </w:tc>
      </w:tr>
      <w:tr>
        <w:trPr>
          <w:trHeight w:val="933" w:hRule="atLeast"/>
        </w:trPr>
        <w:tc>
          <w:tcPr>
            <w:tcW w:w="1463" w:type="dxa"/>
            <w:tcBorders>
              <w:left w:val="nil"/>
            </w:tcBorders>
            <w:shd w:val="clear" w:color="auto" w:fill="399279"/>
          </w:tcPr>
          <w:p>
            <w:pPr>
              <w:pStyle w:val="TableParagraph"/>
              <w:spacing w:line="223" w:lineRule="auto" w:before="232"/>
              <w:ind w:left="343" w:firstLine="183"/>
              <w:rPr>
                <w:rFonts w:ascii="Avenir"/>
                <w:b/>
                <w:sz w:val="22"/>
              </w:rPr>
            </w:pPr>
            <w:r>
              <w:rPr>
                <w:rFonts w:ascii="Avenir"/>
                <w:b/>
                <w:color w:val="FFFFFF"/>
                <w:sz w:val="22"/>
              </w:rPr>
              <w:t>Cardiff and Vale</w:t>
            </w:r>
          </w:p>
        </w:tc>
        <w:tc>
          <w:tcPr>
            <w:tcW w:w="8515" w:type="dxa"/>
            <w:tcBorders>
              <w:right w:val="nil"/>
            </w:tcBorders>
            <w:shd w:val="clear" w:color="auto" w:fill="399279"/>
          </w:tcPr>
          <w:p>
            <w:pPr>
              <w:pStyle w:val="TableParagraph"/>
              <w:spacing w:line="230" w:lineRule="auto" w:before="225"/>
              <w:ind w:left="216"/>
              <w:rPr>
                <w:sz w:val="22"/>
              </w:rPr>
            </w:pPr>
            <w:r>
              <w:rPr>
                <w:color w:val="FFFFFF"/>
                <w:sz w:val="22"/>
              </w:rPr>
              <w:t>Effectiveness of the child protection system; children on the edge of the child protection system; service user participation; Board operations</w:t>
            </w:r>
          </w:p>
        </w:tc>
      </w:tr>
      <w:tr>
        <w:trPr>
          <w:trHeight w:val="1493" w:hRule="atLeast"/>
        </w:trPr>
        <w:tc>
          <w:tcPr>
            <w:tcW w:w="1463" w:type="dxa"/>
            <w:tcBorders>
              <w:left w:val="nil"/>
            </w:tcBorders>
            <w:shd w:val="clear" w:color="auto" w:fill="399279"/>
          </w:tcPr>
          <w:p>
            <w:pPr>
              <w:pStyle w:val="TableParagraph"/>
              <w:spacing w:before="216"/>
              <w:ind w:right="214"/>
              <w:jc w:val="right"/>
              <w:rPr>
                <w:rFonts w:ascii="Avenir"/>
                <w:b/>
                <w:sz w:val="22"/>
              </w:rPr>
            </w:pPr>
            <w:r>
              <w:rPr>
                <w:rFonts w:ascii="Avenir"/>
                <w:b/>
                <w:color w:val="FFFFFF"/>
                <w:sz w:val="22"/>
              </w:rPr>
              <w:t>Cwm Taf</w:t>
            </w:r>
          </w:p>
        </w:tc>
        <w:tc>
          <w:tcPr>
            <w:tcW w:w="8515" w:type="dxa"/>
            <w:tcBorders>
              <w:right w:val="nil"/>
            </w:tcBorders>
            <w:shd w:val="clear" w:color="auto" w:fill="399279"/>
          </w:tcPr>
          <w:p>
            <w:pPr>
              <w:pStyle w:val="TableParagraph"/>
              <w:spacing w:line="230" w:lineRule="auto" w:before="225"/>
              <w:ind w:left="216" w:right="261"/>
              <w:rPr>
                <w:sz w:val="22"/>
              </w:rPr>
            </w:pPr>
            <w:r>
              <w:rPr>
                <w:color w:val="FFFFFF"/>
                <w:sz w:val="22"/>
              </w:rPr>
              <w:t>Robust structure and clear governance; anticipates and identifies specific groups at risk; proactive in engaging with communities; assured of effective interagency practice and processes; a more confident and knowledgeable multi-agency workforce; and pursues opportunities for collaboration to support its objectives</w:t>
            </w:r>
          </w:p>
        </w:tc>
      </w:tr>
      <w:tr>
        <w:trPr>
          <w:trHeight w:val="1773" w:hRule="atLeast"/>
        </w:trPr>
        <w:tc>
          <w:tcPr>
            <w:tcW w:w="1463" w:type="dxa"/>
            <w:tcBorders>
              <w:left w:val="nil"/>
            </w:tcBorders>
            <w:shd w:val="clear" w:color="auto" w:fill="399279"/>
          </w:tcPr>
          <w:p>
            <w:pPr>
              <w:pStyle w:val="TableParagraph"/>
              <w:spacing w:before="216"/>
              <w:ind w:right="214"/>
              <w:jc w:val="right"/>
              <w:rPr>
                <w:rFonts w:ascii="Avenir"/>
                <w:b/>
                <w:sz w:val="22"/>
              </w:rPr>
            </w:pPr>
            <w:r>
              <w:rPr>
                <w:rFonts w:ascii="Avenir"/>
                <w:b/>
                <w:color w:val="FFFFFF"/>
                <w:sz w:val="22"/>
              </w:rPr>
              <w:t>Gwent</w:t>
            </w:r>
          </w:p>
        </w:tc>
        <w:tc>
          <w:tcPr>
            <w:tcW w:w="8515" w:type="dxa"/>
            <w:tcBorders>
              <w:right w:val="nil"/>
            </w:tcBorders>
            <w:shd w:val="clear" w:color="auto" w:fill="399279"/>
          </w:tcPr>
          <w:p>
            <w:pPr>
              <w:pStyle w:val="TableParagraph"/>
              <w:spacing w:line="230" w:lineRule="auto" w:before="225"/>
              <w:ind w:left="216"/>
              <w:rPr>
                <w:sz w:val="22"/>
              </w:rPr>
            </w:pPr>
            <w:r>
              <w:rPr>
                <w:color w:val="FFFFFF"/>
                <w:sz w:val="22"/>
              </w:rPr>
              <w:t>Reducing the effects of compromised parenting re neglect and emotional abuse; improving work with adolescents who exhibit risky behavior online and re Child Sexual Exploitation; ensuring the continued effectiveness of safeguarding practice during the implementation of the Social Services and Well-being Act; and maintaining an effective Regional Children’s Board</w:t>
            </w:r>
          </w:p>
        </w:tc>
      </w:tr>
      <w:tr>
        <w:trPr>
          <w:trHeight w:val="2053" w:hRule="atLeast"/>
        </w:trPr>
        <w:tc>
          <w:tcPr>
            <w:tcW w:w="1463" w:type="dxa"/>
            <w:tcBorders>
              <w:left w:val="nil"/>
            </w:tcBorders>
            <w:shd w:val="clear" w:color="auto" w:fill="399279"/>
          </w:tcPr>
          <w:p>
            <w:pPr>
              <w:pStyle w:val="TableParagraph"/>
              <w:spacing w:line="290" w:lineRule="exact" w:before="216"/>
              <w:ind w:left="384"/>
              <w:rPr>
                <w:rFonts w:ascii="Avenir"/>
                <w:b/>
                <w:sz w:val="22"/>
              </w:rPr>
            </w:pPr>
            <w:r>
              <w:rPr>
                <w:rFonts w:ascii="Avenir"/>
                <w:b/>
                <w:color w:val="FFFFFF"/>
                <w:sz w:val="22"/>
              </w:rPr>
              <w:t>Mid and</w:t>
            </w:r>
          </w:p>
          <w:p>
            <w:pPr>
              <w:pStyle w:val="TableParagraph"/>
              <w:spacing w:line="223" w:lineRule="auto" w:before="6"/>
              <w:ind w:left="620" w:right="198" w:firstLine="81"/>
              <w:rPr>
                <w:rFonts w:ascii="Avenir"/>
                <w:b/>
                <w:sz w:val="22"/>
              </w:rPr>
            </w:pPr>
            <w:r>
              <w:rPr>
                <w:rFonts w:ascii="Avenir"/>
                <w:b/>
                <w:color w:val="FFFFFF"/>
                <w:spacing w:val="-1"/>
                <w:sz w:val="22"/>
              </w:rPr>
              <w:t>West </w:t>
            </w:r>
            <w:r>
              <w:rPr>
                <w:rFonts w:ascii="Avenir"/>
                <w:b/>
                <w:color w:val="FFFFFF"/>
                <w:spacing w:val="-2"/>
                <w:sz w:val="22"/>
              </w:rPr>
              <w:t>Wales</w:t>
            </w:r>
          </w:p>
        </w:tc>
        <w:tc>
          <w:tcPr>
            <w:tcW w:w="8515" w:type="dxa"/>
            <w:tcBorders>
              <w:right w:val="nil"/>
            </w:tcBorders>
            <w:shd w:val="clear" w:color="auto" w:fill="399279"/>
          </w:tcPr>
          <w:p>
            <w:pPr>
              <w:pStyle w:val="TableParagraph"/>
              <w:spacing w:line="230" w:lineRule="auto" w:before="225"/>
              <w:ind w:left="216" w:right="261"/>
              <w:rPr>
                <w:sz w:val="22"/>
              </w:rPr>
            </w:pPr>
            <w:r>
              <w:rPr>
                <w:color w:val="FFFFFF"/>
                <w:sz w:val="22"/>
              </w:rPr>
              <w:t>Improving outcomes across the “continuum of need;” demonstrate that the voice of children at risk, their families and frontline practitioners is central to our work; be assured we know the children most at risk and effectively safeguard them; to continually develop and improve the way we work so that outcomes for children at risk improve; to provide strategic leadership across the partnership; and ensure that the Board can demonstrate effectiveness</w:t>
            </w:r>
          </w:p>
        </w:tc>
      </w:tr>
      <w:tr>
        <w:trPr>
          <w:trHeight w:val="933" w:hRule="atLeast"/>
        </w:trPr>
        <w:tc>
          <w:tcPr>
            <w:tcW w:w="1463" w:type="dxa"/>
            <w:tcBorders>
              <w:left w:val="nil"/>
            </w:tcBorders>
            <w:shd w:val="clear" w:color="auto" w:fill="399279"/>
          </w:tcPr>
          <w:p>
            <w:pPr>
              <w:pStyle w:val="TableParagraph"/>
              <w:spacing w:line="223" w:lineRule="auto" w:before="232"/>
              <w:ind w:left="620" w:hanging="4"/>
              <w:rPr>
                <w:rFonts w:ascii="Avenir"/>
                <w:b/>
                <w:sz w:val="22"/>
              </w:rPr>
            </w:pPr>
            <w:r>
              <w:rPr>
                <w:rFonts w:ascii="Avenir"/>
                <w:b/>
                <w:color w:val="FFFFFF"/>
                <w:sz w:val="22"/>
              </w:rPr>
              <w:t>North Wales</w:t>
            </w:r>
          </w:p>
        </w:tc>
        <w:tc>
          <w:tcPr>
            <w:tcW w:w="8515" w:type="dxa"/>
            <w:tcBorders>
              <w:right w:val="nil"/>
            </w:tcBorders>
            <w:shd w:val="clear" w:color="auto" w:fill="399279"/>
          </w:tcPr>
          <w:p>
            <w:pPr>
              <w:pStyle w:val="TableParagraph"/>
              <w:spacing w:line="286" w:lineRule="exact" w:before="216"/>
              <w:ind w:left="216"/>
              <w:rPr>
                <w:sz w:val="22"/>
              </w:rPr>
            </w:pPr>
            <w:r>
              <w:rPr>
                <w:color w:val="FFFFFF"/>
                <w:sz w:val="22"/>
              </w:rPr>
              <w:t>To identify and safeguard children at risk of sexual exploitation; and to improve</w:t>
            </w:r>
          </w:p>
          <w:p>
            <w:pPr>
              <w:pStyle w:val="TableParagraph"/>
              <w:spacing w:line="286" w:lineRule="exact"/>
              <w:ind w:left="216"/>
              <w:rPr>
                <w:sz w:val="22"/>
              </w:rPr>
            </w:pPr>
            <w:r>
              <w:rPr>
                <w:color w:val="FFFFFF"/>
                <w:sz w:val="22"/>
              </w:rPr>
              <w:t>outcomes and experiences for children</w:t>
            </w:r>
          </w:p>
        </w:tc>
      </w:tr>
      <w:tr>
        <w:trPr>
          <w:trHeight w:val="943" w:hRule="atLeast"/>
        </w:trPr>
        <w:tc>
          <w:tcPr>
            <w:tcW w:w="1463" w:type="dxa"/>
            <w:tcBorders>
              <w:left w:val="nil"/>
              <w:bottom w:val="nil"/>
            </w:tcBorders>
            <w:shd w:val="clear" w:color="auto" w:fill="399279"/>
          </w:tcPr>
          <w:p>
            <w:pPr>
              <w:pStyle w:val="TableParagraph"/>
              <w:spacing w:line="290" w:lineRule="exact" w:before="216"/>
              <w:ind w:left="356"/>
              <w:rPr>
                <w:rFonts w:ascii="Avenir"/>
                <w:b/>
                <w:sz w:val="22"/>
              </w:rPr>
            </w:pPr>
            <w:r>
              <w:rPr>
                <w:rFonts w:ascii="Avenir"/>
                <w:b/>
                <w:color w:val="FFFFFF"/>
                <w:sz w:val="22"/>
              </w:rPr>
              <w:t>Western</w:t>
            </w:r>
          </w:p>
          <w:p>
            <w:pPr>
              <w:pStyle w:val="TableParagraph"/>
              <w:spacing w:line="290" w:lineRule="exact"/>
              <w:ind w:left="853"/>
              <w:rPr>
                <w:rFonts w:ascii="Avenir"/>
                <w:b/>
                <w:sz w:val="22"/>
              </w:rPr>
            </w:pPr>
            <w:r>
              <w:rPr>
                <w:rFonts w:ascii="Avenir"/>
                <w:b/>
                <w:color w:val="FFFFFF"/>
                <w:sz w:val="22"/>
              </w:rPr>
              <w:t>Bay</w:t>
            </w:r>
          </w:p>
        </w:tc>
        <w:tc>
          <w:tcPr>
            <w:tcW w:w="8515" w:type="dxa"/>
            <w:tcBorders>
              <w:bottom w:val="nil"/>
              <w:right w:val="nil"/>
            </w:tcBorders>
            <w:shd w:val="clear" w:color="auto" w:fill="399279"/>
          </w:tcPr>
          <w:p>
            <w:pPr>
              <w:pStyle w:val="TableParagraph"/>
              <w:spacing w:line="286" w:lineRule="exact" w:before="216"/>
              <w:ind w:left="216"/>
              <w:rPr>
                <w:sz w:val="22"/>
              </w:rPr>
            </w:pPr>
            <w:r>
              <w:rPr>
                <w:color w:val="FFFFFF"/>
                <w:sz w:val="22"/>
              </w:rPr>
              <w:t>Neglect; child sexual exploitation; missing children/ managing risk taking</w:t>
            </w:r>
          </w:p>
          <w:p>
            <w:pPr>
              <w:pStyle w:val="TableParagraph"/>
              <w:spacing w:line="286" w:lineRule="exact"/>
              <w:ind w:left="216"/>
              <w:rPr>
                <w:sz w:val="22"/>
              </w:rPr>
            </w:pPr>
            <w:r>
              <w:rPr>
                <w:color w:val="FFFFFF"/>
                <w:sz w:val="22"/>
              </w:rPr>
              <w:t>behaviours</w:t>
            </w:r>
          </w:p>
        </w:tc>
      </w:tr>
    </w:tbl>
    <w:p>
      <w:pPr>
        <w:spacing w:after="0" w:line="286" w:lineRule="exact"/>
        <w:rPr>
          <w:sz w:val="22"/>
        </w:rPr>
        <w:sectPr>
          <w:pgSz w:w="11910" w:h="16840"/>
          <w:pgMar w:top="0" w:bottom="0" w:left="520" w:right="520"/>
        </w:sectPr>
      </w:pPr>
    </w:p>
    <w:p>
      <w:pPr>
        <w:pStyle w:val="BodyText"/>
        <w:rPr>
          <w:sz w:val="20"/>
        </w:rPr>
      </w:pPr>
      <w:r>
        <w:rPr/>
        <w:pict>
          <v:rect style="position:absolute;margin-left:566.929016pt;margin-top:0pt;width:28.347001pt;height:841.890015pt;mso-position-horizontal-relative:page;mso-position-vertical-relative:page;z-index:15739904" filled="true" fillcolor="#3b957d" stroked="false">
            <v:fill type="solid"/>
            <w10:wrap type="none"/>
          </v:rect>
        </w:pict>
      </w:r>
      <w:r>
        <w:rPr/>
        <w:pict>
          <v:shape style="position:absolute;margin-left:573.765198pt;margin-top:182.052719pt;width:15.7pt;height:477.8pt;mso-position-horizontal-relative:page;mso-position-vertical-relative:page;z-index:15740416"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138" w:val="right" w:leader="none"/>
        </w:tabs>
        <w:spacing w:before="100"/>
        <w:ind w:left="160" w:right="0" w:firstLine="0"/>
        <w:jc w:val="left"/>
        <w:rPr>
          <w:sz w:val="16"/>
        </w:rPr>
      </w:pPr>
      <w:r>
        <w:rPr>
          <w:color w:val="231F20"/>
          <w:sz w:val="16"/>
        </w:rPr>
        <w:t>Annual Report 2017-18</w:t>
        <w:tab/>
        <w:t>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tbl>
      <w:tblPr>
        <w:tblW w:w="0" w:type="auto"/>
        <w:jc w:val="left"/>
        <w:tblInd w:w="1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706"/>
        <w:gridCol w:w="8275"/>
      </w:tblGrid>
      <w:tr>
        <w:trPr>
          <w:trHeight w:val="663" w:hRule="atLeast"/>
        </w:trPr>
        <w:tc>
          <w:tcPr>
            <w:tcW w:w="1706" w:type="dxa"/>
            <w:tcBorders>
              <w:top w:val="nil"/>
              <w:left w:val="nil"/>
            </w:tcBorders>
            <w:shd w:val="clear" w:color="auto" w:fill="3B957D"/>
          </w:tcPr>
          <w:p>
            <w:pPr>
              <w:pStyle w:val="TableParagraph"/>
              <w:rPr>
                <w:rFonts w:ascii="Times New Roman"/>
                <w:sz w:val="20"/>
              </w:rPr>
            </w:pPr>
          </w:p>
        </w:tc>
        <w:tc>
          <w:tcPr>
            <w:tcW w:w="8275" w:type="dxa"/>
            <w:tcBorders>
              <w:top w:val="nil"/>
              <w:right w:val="nil"/>
            </w:tcBorders>
            <w:shd w:val="clear" w:color="auto" w:fill="3B957D"/>
          </w:tcPr>
          <w:p>
            <w:pPr>
              <w:pStyle w:val="TableParagraph"/>
              <w:spacing w:before="226"/>
              <w:ind w:left="216"/>
              <w:rPr>
                <w:rFonts w:ascii="Avenir"/>
                <w:b/>
                <w:sz w:val="22"/>
              </w:rPr>
            </w:pPr>
            <w:r>
              <w:rPr>
                <w:rFonts w:ascii="Avenir"/>
                <w:b/>
                <w:color w:val="FFFFFF"/>
                <w:sz w:val="22"/>
              </w:rPr>
              <w:t>Priorities Set for Adults during 2017</w:t>
            </w:r>
          </w:p>
        </w:tc>
      </w:tr>
      <w:tr>
        <w:trPr>
          <w:trHeight w:val="933" w:hRule="atLeast"/>
        </w:trPr>
        <w:tc>
          <w:tcPr>
            <w:tcW w:w="1706" w:type="dxa"/>
            <w:tcBorders>
              <w:left w:val="nil"/>
            </w:tcBorders>
            <w:shd w:val="clear" w:color="auto" w:fill="3B957D"/>
          </w:tcPr>
          <w:p>
            <w:pPr>
              <w:pStyle w:val="TableParagraph"/>
              <w:spacing w:line="223" w:lineRule="auto" w:before="232"/>
              <w:ind w:left="586" w:firstLine="183"/>
              <w:rPr>
                <w:rFonts w:ascii="Avenir"/>
                <w:b/>
                <w:sz w:val="22"/>
              </w:rPr>
            </w:pPr>
            <w:r>
              <w:rPr>
                <w:rFonts w:ascii="Avenir"/>
                <w:b/>
                <w:color w:val="FFFFFF"/>
                <w:sz w:val="22"/>
              </w:rPr>
              <w:t>Cardiff and Vale</w:t>
            </w:r>
          </w:p>
        </w:tc>
        <w:tc>
          <w:tcPr>
            <w:tcW w:w="8275" w:type="dxa"/>
            <w:tcBorders>
              <w:right w:val="nil"/>
            </w:tcBorders>
            <w:shd w:val="clear" w:color="auto" w:fill="3B957D"/>
          </w:tcPr>
          <w:p>
            <w:pPr>
              <w:pStyle w:val="TableParagraph"/>
              <w:spacing w:before="216"/>
              <w:ind w:left="216"/>
              <w:rPr>
                <w:sz w:val="22"/>
              </w:rPr>
            </w:pPr>
            <w:r>
              <w:rPr>
                <w:color w:val="FFFFFF"/>
                <w:sz w:val="22"/>
              </w:rPr>
              <w:t>Domiciliary and nursing home care; safeguarding people with dementia</w:t>
            </w:r>
          </w:p>
        </w:tc>
      </w:tr>
      <w:tr>
        <w:trPr>
          <w:trHeight w:val="1773" w:hRule="atLeast"/>
        </w:trPr>
        <w:tc>
          <w:tcPr>
            <w:tcW w:w="1706" w:type="dxa"/>
            <w:tcBorders>
              <w:left w:val="nil"/>
            </w:tcBorders>
            <w:shd w:val="clear" w:color="auto" w:fill="3B957D"/>
          </w:tcPr>
          <w:p>
            <w:pPr>
              <w:pStyle w:val="TableParagraph"/>
              <w:spacing w:before="216"/>
              <w:ind w:right="214"/>
              <w:jc w:val="right"/>
              <w:rPr>
                <w:rFonts w:ascii="Avenir"/>
                <w:b/>
                <w:sz w:val="22"/>
              </w:rPr>
            </w:pPr>
            <w:r>
              <w:rPr>
                <w:rFonts w:ascii="Avenir"/>
                <w:b/>
                <w:color w:val="FFFFFF"/>
                <w:sz w:val="22"/>
              </w:rPr>
              <w:t>Cwm Taf</w:t>
            </w:r>
          </w:p>
        </w:tc>
        <w:tc>
          <w:tcPr>
            <w:tcW w:w="8275" w:type="dxa"/>
            <w:tcBorders>
              <w:right w:val="nil"/>
            </w:tcBorders>
            <w:shd w:val="clear" w:color="auto" w:fill="3B957D"/>
          </w:tcPr>
          <w:p>
            <w:pPr>
              <w:pStyle w:val="TableParagraph"/>
              <w:spacing w:line="230" w:lineRule="auto" w:before="225"/>
              <w:ind w:left="216" w:right="258"/>
              <w:rPr>
                <w:sz w:val="22"/>
              </w:rPr>
            </w:pPr>
            <w:r>
              <w:rPr>
                <w:color w:val="FFFFFF"/>
                <w:sz w:val="22"/>
              </w:rPr>
              <w:t>Robust structure and clear governance; anticipates and identifies specific groups at risk; proactive in engaging with communities; assured of effective interagency practice and processes; a more confident and knowledgeable multi-agency workforce; and pursues opportunities for collaboration to support its objectives</w:t>
            </w:r>
          </w:p>
        </w:tc>
      </w:tr>
      <w:tr>
        <w:trPr>
          <w:trHeight w:val="1773" w:hRule="atLeast"/>
        </w:trPr>
        <w:tc>
          <w:tcPr>
            <w:tcW w:w="1706" w:type="dxa"/>
            <w:tcBorders>
              <w:left w:val="nil"/>
            </w:tcBorders>
            <w:shd w:val="clear" w:color="auto" w:fill="3B957D"/>
          </w:tcPr>
          <w:p>
            <w:pPr>
              <w:pStyle w:val="TableParagraph"/>
              <w:spacing w:before="216"/>
              <w:ind w:right="214"/>
              <w:jc w:val="right"/>
              <w:rPr>
                <w:rFonts w:ascii="Avenir"/>
                <w:b/>
                <w:sz w:val="22"/>
              </w:rPr>
            </w:pPr>
            <w:r>
              <w:rPr>
                <w:rFonts w:ascii="Avenir"/>
                <w:b/>
                <w:color w:val="FFFFFF"/>
                <w:sz w:val="22"/>
              </w:rPr>
              <w:t>Gwent</w:t>
            </w:r>
          </w:p>
        </w:tc>
        <w:tc>
          <w:tcPr>
            <w:tcW w:w="8275" w:type="dxa"/>
            <w:tcBorders>
              <w:right w:val="nil"/>
            </w:tcBorders>
            <w:shd w:val="clear" w:color="auto" w:fill="3B957D"/>
          </w:tcPr>
          <w:p>
            <w:pPr>
              <w:pStyle w:val="TableParagraph"/>
              <w:spacing w:line="230" w:lineRule="auto" w:before="225"/>
              <w:ind w:left="216" w:right="594"/>
              <w:rPr>
                <w:sz w:val="22"/>
              </w:rPr>
            </w:pPr>
            <w:r>
              <w:rPr>
                <w:color w:val="FFFFFF"/>
                <w:sz w:val="22"/>
              </w:rPr>
              <w:t>Targetting interventions towards adults at risk of neglect and financial abuse; improving the quality of care re managing pressure [ulcer] damage and promoting adult advocacy; ensuring the continued effectiveness of safeguarding practice during the implementation of the Social Services and</w:t>
            </w:r>
          </w:p>
          <w:p>
            <w:pPr>
              <w:pStyle w:val="TableParagraph"/>
              <w:spacing w:line="283" w:lineRule="exact"/>
              <w:ind w:left="216"/>
              <w:rPr>
                <w:sz w:val="22"/>
              </w:rPr>
            </w:pPr>
            <w:r>
              <w:rPr>
                <w:color w:val="FFFFFF"/>
                <w:sz w:val="22"/>
              </w:rPr>
              <w:t>Well-being Act; and maintaining effective Regional Adults’ Safeguarding Board</w:t>
            </w:r>
          </w:p>
        </w:tc>
      </w:tr>
      <w:tr>
        <w:trPr>
          <w:trHeight w:val="2053" w:hRule="atLeast"/>
        </w:trPr>
        <w:tc>
          <w:tcPr>
            <w:tcW w:w="1706" w:type="dxa"/>
            <w:tcBorders>
              <w:left w:val="nil"/>
            </w:tcBorders>
            <w:shd w:val="clear" w:color="auto" w:fill="3B957D"/>
          </w:tcPr>
          <w:p>
            <w:pPr>
              <w:pStyle w:val="TableParagraph"/>
              <w:spacing w:line="290" w:lineRule="exact" w:before="216"/>
              <w:ind w:left="627"/>
              <w:rPr>
                <w:rFonts w:ascii="Avenir"/>
                <w:b/>
                <w:sz w:val="22"/>
              </w:rPr>
            </w:pPr>
            <w:r>
              <w:rPr>
                <w:rFonts w:ascii="Avenir"/>
                <w:b/>
                <w:color w:val="FFFFFF"/>
                <w:sz w:val="22"/>
              </w:rPr>
              <w:t>Mid and</w:t>
            </w:r>
          </w:p>
          <w:p>
            <w:pPr>
              <w:pStyle w:val="TableParagraph"/>
              <w:spacing w:line="223" w:lineRule="auto" w:before="6"/>
              <w:ind w:left="863" w:right="198" w:firstLine="81"/>
              <w:rPr>
                <w:rFonts w:ascii="Avenir"/>
                <w:b/>
                <w:sz w:val="22"/>
              </w:rPr>
            </w:pPr>
            <w:r>
              <w:rPr>
                <w:rFonts w:ascii="Avenir"/>
                <w:b/>
                <w:color w:val="FFFFFF"/>
                <w:spacing w:val="-1"/>
                <w:sz w:val="22"/>
              </w:rPr>
              <w:t>West </w:t>
            </w:r>
            <w:r>
              <w:rPr>
                <w:rFonts w:ascii="Avenir"/>
                <w:b/>
                <w:color w:val="FFFFFF"/>
                <w:spacing w:val="-2"/>
                <w:sz w:val="22"/>
              </w:rPr>
              <w:t>Wales</w:t>
            </w:r>
          </w:p>
        </w:tc>
        <w:tc>
          <w:tcPr>
            <w:tcW w:w="8275" w:type="dxa"/>
            <w:tcBorders>
              <w:right w:val="nil"/>
            </w:tcBorders>
            <w:shd w:val="clear" w:color="auto" w:fill="3B957D"/>
          </w:tcPr>
          <w:p>
            <w:pPr>
              <w:pStyle w:val="TableParagraph"/>
              <w:spacing w:line="230" w:lineRule="auto" w:before="225"/>
              <w:ind w:left="216" w:right="224"/>
              <w:rPr>
                <w:sz w:val="22"/>
              </w:rPr>
            </w:pPr>
            <w:r>
              <w:rPr>
                <w:color w:val="FFFFFF"/>
                <w:sz w:val="22"/>
              </w:rPr>
              <w:t>Improving outcomes across the “continuum of need;” demonstrate that the voice of adults at risk, their families and frontline practitioners is central to our work; be assured we know the adults most at risk and effectively safeguard them; to continually develop and improve the way we work so that outcomes for adults at risk improve; to provide strategic leadership across the</w:t>
            </w:r>
            <w:r>
              <w:rPr>
                <w:color w:val="FFFFFF"/>
                <w:spacing w:val="-35"/>
                <w:sz w:val="22"/>
              </w:rPr>
              <w:t> </w:t>
            </w:r>
            <w:r>
              <w:rPr>
                <w:color w:val="FFFFFF"/>
                <w:sz w:val="22"/>
              </w:rPr>
              <w:t>partnership; and ensure that the Board can demonstrate</w:t>
            </w:r>
            <w:r>
              <w:rPr>
                <w:color w:val="FFFFFF"/>
                <w:spacing w:val="-2"/>
                <w:sz w:val="22"/>
              </w:rPr>
              <w:t> </w:t>
            </w:r>
            <w:r>
              <w:rPr>
                <w:color w:val="FFFFFF"/>
                <w:sz w:val="22"/>
              </w:rPr>
              <w:t>effectiveness</w:t>
            </w:r>
          </w:p>
        </w:tc>
      </w:tr>
      <w:tr>
        <w:trPr>
          <w:trHeight w:val="1493" w:hRule="atLeast"/>
        </w:trPr>
        <w:tc>
          <w:tcPr>
            <w:tcW w:w="1706" w:type="dxa"/>
            <w:tcBorders>
              <w:left w:val="nil"/>
            </w:tcBorders>
            <w:shd w:val="clear" w:color="auto" w:fill="3B957D"/>
          </w:tcPr>
          <w:p>
            <w:pPr>
              <w:pStyle w:val="TableParagraph"/>
              <w:spacing w:line="223" w:lineRule="auto" w:before="232"/>
              <w:ind w:left="863" w:hanging="4"/>
              <w:rPr>
                <w:rFonts w:ascii="Avenir"/>
                <w:b/>
                <w:sz w:val="22"/>
              </w:rPr>
            </w:pPr>
            <w:r>
              <w:rPr>
                <w:rFonts w:ascii="Avenir"/>
                <w:b/>
                <w:color w:val="FFFFFF"/>
                <w:sz w:val="22"/>
              </w:rPr>
              <w:t>North Wales</w:t>
            </w:r>
          </w:p>
        </w:tc>
        <w:tc>
          <w:tcPr>
            <w:tcW w:w="8275" w:type="dxa"/>
            <w:tcBorders>
              <w:right w:val="nil"/>
            </w:tcBorders>
            <w:shd w:val="clear" w:color="auto" w:fill="3B957D"/>
          </w:tcPr>
          <w:p>
            <w:pPr>
              <w:pStyle w:val="TableParagraph"/>
              <w:spacing w:line="230" w:lineRule="auto" w:before="225"/>
              <w:ind w:left="216" w:right="258"/>
              <w:rPr>
                <w:sz w:val="22"/>
              </w:rPr>
            </w:pPr>
            <w:r>
              <w:rPr>
                <w:color w:val="FFFFFF"/>
                <w:sz w:val="22"/>
              </w:rPr>
              <w:t>To improve outcomes for adults who are the subject of adult protection plans; staff and the public are fully aware of the need to safeguard and protect adults at risk, and know what to do; the Board operates effectively and is assured of the quality of safeguarding services</w:t>
            </w:r>
          </w:p>
        </w:tc>
      </w:tr>
      <w:tr>
        <w:trPr>
          <w:trHeight w:val="943" w:hRule="atLeast"/>
        </w:trPr>
        <w:tc>
          <w:tcPr>
            <w:tcW w:w="1706" w:type="dxa"/>
            <w:tcBorders>
              <w:left w:val="nil"/>
              <w:bottom w:val="nil"/>
            </w:tcBorders>
            <w:shd w:val="clear" w:color="auto" w:fill="3B957D"/>
          </w:tcPr>
          <w:p>
            <w:pPr>
              <w:pStyle w:val="TableParagraph"/>
              <w:spacing w:line="290" w:lineRule="exact" w:before="216"/>
              <w:ind w:left="599"/>
              <w:rPr>
                <w:rFonts w:ascii="Avenir"/>
                <w:b/>
                <w:sz w:val="22"/>
              </w:rPr>
            </w:pPr>
            <w:r>
              <w:rPr>
                <w:rFonts w:ascii="Avenir"/>
                <w:b/>
                <w:color w:val="FFFFFF"/>
                <w:sz w:val="22"/>
              </w:rPr>
              <w:t>Western</w:t>
            </w:r>
          </w:p>
          <w:p>
            <w:pPr>
              <w:pStyle w:val="TableParagraph"/>
              <w:spacing w:line="290" w:lineRule="exact"/>
              <w:ind w:left="1096"/>
              <w:rPr>
                <w:rFonts w:ascii="Avenir"/>
                <w:b/>
                <w:sz w:val="22"/>
              </w:rPr>
            </w:pPr>
            <w:r>
              <w:rPr>
                <w:rFonts w:ascii="Avenir"/>
                <w:b/>
                <w:color w:val="FFFFFF"/>
                <w:sz w:val="22"/>
              </w:rPr>
              <w:t>Bay</w:t>
            </w:r>
          </w:p>
        </w:tc>
        <w:tc>
          <w:tcPr>
            <w:tcW w:w="8275" w:type="dxa"/>
            <w:tcBorders>
              <w:bottom w:val="nil"/>
              <w:right w:val="nil"/>
            </w:tcBorders>
            <w:shd w:val="clear" w:color="auto" w:fill="3B957D"/>
          </w:tcPr>
          <w:p>
            <w:pPr>
              <w:pStyle w:val="TableParagraph"/>
              <w:spacing w:line="286" w:lineRule="exact" w:before="216"/>
              <w:ind w:left="216"/>
              <w:rPr>
                <w:sz w:val="22"/>
              </w:rPr>
            </w:pPr>
            <w:r>
              <w:rPr>
                <w:color w:val="FFFFFF"/>
                <w:sz w:val="22"/>
              </w:rPr>
              <w:t>Governance; establish links with partner agencies; and engage with citizens and</w:t>
            </w:r>
          </w:p>
          <w:p>
            <w:pPr>
              <w:pStyle w:val="TableParagraph"/>
              <w:spacing w:line="286" w:lineRule="exact"/>
              <w:ind w:left="216"/>
              <w:rPr>
                <w:sz w:val="22"/>
              </w:rPr>
            </w:pPr>
            <w:r>
              <w:rPr>
                <w:color w:val="FFFFFF"/>
                <w:sz w:val="22"/>
              </w:rPr>
              <w:t>providers</w:t>
            </w:r>
          </w:p>
        </w:tc>
      </w:tr>
    </w:tbl>
    <w:p>
      <w:pPr>
        <w:spacing w:after="0" w:line="286" w:lineRule="exact"/>
        <w:rPr>
          <w:sz w:val="22"/>
        </w:rPr>
        <w:sectPr>
          <w:pgSz w:w="11910" w:h="16840"/>
          <w:pgMar w:top="0" w:bottom="0" w:left="520" w:right="520"/>
        </w:sectPr>
      </w:pPr>
    </w:p>
    <w:p>
      <w:pPr>
        <w:pStyle w:val="BodyText"/>
        <w:rPr>
          <w:sz w:val="20"/>
        </w:rPr>
      </w:pPr>
      <w:r>
        <w:rPr/>
        <w:pict>
          <v:rect style="position:absolute;margin-left:0pt;margin-top:0pt;width:28.346pt;height:841.890015pt;mso-position-horizontal-relative:page;mso-position-vertical-relative:page;z-index:-17835520" filled="true" fillcolor="#3b957d" stroked="false">
            <v:fill type="solid"/>
            <w10:wrap type="none"/>
          </v:rect>
        </w:pict>
      </w:r>
      <w:r>
        <w:rPr/>
        <w:pict>
          <v:shape style="position:absolute;margin-left:7.0315pt;margin-top:182.052505pt;width:15.7pt;height:477.8pt;mso-position-horizontal-relative:page;mso-position-vertical-relative:page;z-index:15741952"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7198" w:val="left" w:leader="none"/>
        </w:tabs>
        <w:spacing w:before="100"/>
        <w:ind w:left="727" w:right="0" w:firstLine="0"/>
        <w:jc w:val="left"/>
        <w:rPr>
          <w:sz w:val="16"/>
        </w:rPr>
      </w:pPr>
      <w:r>
        <w:rPr>
          <w:color w:val="231F20"/>
          <w:sz w:val="16"/>
        </w:rPr>
        <w:t>12</w:t>
        <w:tab/>
        <w:t>National Independent Safeguarding Board</w:t>
      </w:r>
      <w:r>
        <w:rPr>
          <w:color w:val="231F20"/>
          <w:spacing w:val="-7"/>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before="100"/>
        <w:ind w:left="727"/>
      </w:pPr>
      <w:r>
        <w:rPr>
          <w:color w:val="3B957D"/>
        </w:rPr>
        <w:t>So what happened?</w:t>
      </w:r>
    </w:p>
    <w:p>
      <w:pPr>
        <w:pStyle w:val="BodyText"/>
        <w:spacing w:before="212"/>
        <w:ind w:left="727"/>
      </w:pPr>
      <w:r>
        <w:rPr>
          <w:color w:val="231F20"/>
        </w:rPr>
        <w:t>We report what each Regional Board has done in the next few pages and begin with three caveats.</w:t>
      </w:r>
    </w:p>
    <w:p>
      <w:pPr>
        <w:pStyle w:val="BodyText"/>
        <w:spacing w:before="2"/>
        <w:rPr>
          <w:sz w:val="21"/>
        </w:rPr>
      </w:pPr>
    </w:p>
    <w:p>
      <w:pPr>
        <w:pStyle w:val="BodyText"/>
        <w:spacing w:line="230" w:lineRule="auto" w:before="1"/>
        <w:ind w:left="727" w:right="132"/>
      </w:pPr>
      <w:r>
        <w:rPr>
          <w:color w:val="231F20"/>
        </w:rPr>
        <w:t>We have chosen </w:t>
      </w:r>
      <w:r>
        <w:rPr>
          <w:rFonts w:ascii="Avenir" w:hAnsi="Avenir"/>
          <w:i/>
          <w:color w:val="231F20"/>
        </w:rPr>
        <w:t>not </w:t>
      </w:r>
      <w:r>
        <w:rPr>
          <w:color w:val="231F20"/>
        </w:rPr>
        <w:t>to reflect certain activities which beg questions and would puzzle readers who are unfamiliar with the language used by services. For example, “…considered GCP2 but agreement could not be reached on whether to sign up to it…we seek to develop a more coordinated approach in this area …Achieving Best Evidence discussed…Partnership Reporting Template in place…awaiting final versions of some safeguarding practice guidance…yet to establish MASE/RBP…17% of actions are completed…considered the feasibility of combining [the approaches of local authorities] into</w:t>
      </w:r>
    </w:p>
    <w:p>
      <w:pPr>
        <w:pStyle w:val="BodyText"/>
        <w:spacing w:line="230" w:lineRule="auto"/>
        <w:ind w:left="727"/>
      </w:pPr>
      <w:r>
        <w:rPr>
          <w:color w:val="231F20"/>
        </w:rPr>
        <w:t>a single, Board wide Quality Assurance function but [the] different business models do not lend themselves to simple merger currently…” It is not always clear how such “means” statements connect to the Regional Boards’ priorities.</w:t>
      </w:r>
    </w:p>
    <w:p>
      <w:pPr>
        <w:pStyle w:val="BodyText"/>
        <w:spacing w:before="6"/>
        <w:rPr>
          <w:sz w:val="21"/>
        </w:rPr>
      </w:pPr>
    </w:p>
    <w:p>
      <w:pPr>
        <w:pStyle w:val="BodyText"/>
        <w:spacing w:line="230" w:lineRule="auto"/>
        <w:ind w:left="727"/>
      </w:pPr>
      <w:r>
        <w:rPr>
          <w:color w:val="231F20"/>
        </w:rPr>
        <w:t>We do </w:t>
      </w:r>
      <w:r>
        <w:rPr>
          <w:rFonts w:ascii="Avenir" w:hAnsi="Avenir"/>
          <w:i/>
          <w:color w:val="231F20"/>
        </w:rPr>
        <w:t>not </w:t>
      </w:r>
      <w:r>
        <w:rPr>
          <w:color w:val="231F20"/>
        </w:rPr>
        <w:t>report on priorities which Regional Boards intend to roll over, for example, “It was agreed that this key action would remain on the Annual Plan…The Board felt that this priority needed to be approached in a more focused way within the next annual plan…process postponed until 2018/19 to allow more time to embed…”</w:t>
      </w:r>
    </w:p>
    <w:p>
      <w:pPr>
        <w:pStyle w:val="BodyText"/>
        <w:spacing w:before="6"/>
        <w:rPr>
          <w:sz w:val="21"/>
        </w:rPr>
      </w:pPr>
    </w:p>
    <w:p>
      <w:pPr>
        <w:pStyle w:val="BodyText"/>
        <w:spacing w:line="230" w:lineRule="auto"/>
        <w:ind w:left="727" w:right="162"/>
      </w:pPr>
      <w:r>
        <w:rPr>
          <w:color w:val="231F20"/>
        </w:rPr>
        <w:t>Also, since Regional Boards are made up of senior managers and leaders across the public sector, albeit with different accountability structures, we do not report their attendance at meetings, engagement with particular professional groups or their topic specific presentations to the Regional Boards or their subgroups.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5"/>
        </w:rPr>
      </w:pPr>
      <w:r>
        <w:rPr/>
        <w:pict>
          <v:group style="position:absolute;margin-left:50.2052pt;margin-top:12.5175pt;width:420.25pt;height:122.2pt;mso-position-horizontal-relative:page;mso-position-vertical-relative:paragraph;z-index:-15716352;mso-wrap-distance-left:0;mso-wrap-distance-right:0" coordorigin="1004,250" coordsize="8405,2444">
            <v:shape style="position:absolute;left:1783;top:250;width:7626;height:2444" coordorigin="1784,250" coordsize="7626,2444" path="m8842,250l2351,250,2023,259,1854,321,1792,490,1784,817,1784,2127,1792,2455,1854,2623,2023,2685,2351,2694,8842,2694,9170,2685,9338,2623,9400,2455,9409,2127,9409,817,9400,490,9338,321,9170,259,8842,250xe" filled="true" fillcolor="#3e77a4" stroked="false">
              <v:path arrowok="t"/>
              <v:fill type="solid"/>
            </v:shape>
            <v:shape style="position:absolute;left:1004;top:255;width:2424;height:2424" coordorigin="1004,255" coordsize="2424,2424" path="m2216,255l2139,257,2064,264,1990,276,1917,292,1847,312,1778,337,1711,365,1646,397,1584,433,1523,472,1466,515,1411,561,1359,610,1310,662,1264,717,1221,774,1182,835,1146,897,1114,962,1086,1029,1061,1098,1041,1168,1025,1241,1014,1315,1006,1390,1004,1467,1006,1543,1014,1619,1025,1693,1041,1765,1061,1836,1086,1905,1114,1971,1146,2036,1182,2099,1221,2159,1264,2216,1310,2271,1359,2323,1411,2372,1466,2418,1523,2461,1584,2500,1646,2536,1711,2568,1778,2597,1847,2621,1917,2641,1990,2657,2064,2669,2139,2676,2216,2678,2292,2676,2368,2669,2442,2657,2514,2641,2585,2621,2654,2597,2720,2568,2785,2536,2848,2500,2908,2461,2965,2418,3020,2372,3072,2323,3121,2271,3167,2216,3210,2159,3250,2099,3285,2036,3317,1971,3346,1905,3370,1836,3390,1765,3406,1693,3418,1619,3425,1543,3427,1467,3425,1390,3418,1315,3406,1241,3390,1168,3370,1098,3346,1029,3317,962,3285,897,3250,835,3210,774,3167,717,3121,662,3072,610,3020,561,2965,515,2908,472,2848,433,2785,397,2720,365,2654,337,2585,312,2514,292,2442,276,2368,264,2292,257,2216,255xe" filled="true" fillcolor="#d5583b" stroked="false">
              <v:path arrowok="t"/>
              <v:fill type="solid"/>
            </v:shape>
            <v:shape style="position:absolute;left:1463;top:487;width:1595;height:1892" coordorigin="1464,487" coordsize="1595,1892" path="m1838,1165l1829,1105,1706,1123,1715,1183,1838,1165xm1865,949l1757,893,1728,948,1836,1004,1865,949xm1907,1319l1874,1267,1771,1332,1804,1384,1907,1319xm1980,831l1912,739,1862,775,1930,868,1980,831xm2141,787l2126,679,2066,688,2082,796,2141,787xm2312,1620l2150,1643,2162,1653,2175,1663,2189,1672,2206,1683,2217,1682,2241,1680,2262,1673,2280,1660,2295,1641,2299,1634,2305,1629,2312,1620xm2324,1504l2320,1478,2309,1470,2107,1499,2099,1508,2103,1536,2114,1543,2215,1529,2315,1514,2324,1504xm2330,1580l2326,1551,2316,1544,2123,1572,2114,1582,2118,1610,2129,1617,2224,1604,2322,1590,2330,1580xm2343,707l2285,685,2245,793,2304,815,2343,707xm2409,1100l2405,1054,2390,999,2365,951,2329,911,2281,879,2231,860,2180,852,2128,853,2076,865,2008,894,1956,937,1920,990,1900,1050,1897,1117,1912,1186,1924,1215,1939,1243,1956,1269,1975,1294,2017,1346,2038,1375,2056,1404,2071,1436,2080,1470,2139,1462,2139,1456,2139,1451,2125,1411,2118,1393,2111,1377,2093,1345,2072,1316,2026,1259,2008,1235,1991,1209,1977,1182,1966,1154,1958,1094,1967,1038,1994,989,2039,948,2069,932,2102,921,2135,915,2170,914,2241,929,2298,969,2335,1027,2348,1099,2345,1132,2338,1164,2328,1196,2316,1226,2303,1258,2290,1290,2279,1323,2271,1356,2267,1378,2266,1399,2266,1421,2268,1443,2328,1435,2327,1392,2335,1352,2348,1313,2380,1233,2395,1189,2406,1145,2409,1100xm2519,835l2476,790,2389,874,2432,919,2519,835xm2584,1215l2468,1187,2454,1247,2570,1276,2584,1215xm2598,1056l2590,997,2466,1015,2475,1074,2598,1056xm3058,1714l3056,1682,3001,1470,3001,1707,2830,1707,2830,1763,2830,1810,2830,1870,2830,1923,2831,1974,2823,2022,2799,2057,2764,2078,2721,2085,2636,2084,2551,2084,2382,2084,2355,2084,2355,2141,2490,2141,2525,2320,1779,2320,1779,2298,1779,2214,1776,2131,1770,2049,1761,1966,1747,1885,1729,1804,1706,1724,1681,1655,1654,1587,1625,1519,1597,1452,1582,1417,1567,1382,1552,1348,1539,1313,1532,1292,1527,1270,1524,1248,1522,1226,1525,1145,1535,1069,1553,996,1578,929,1611,865,1651,806,1699,752,1754,702,1816,656,1885,615,1955,583,2027,562,2100,549,2176,545,2252,549,2331,560,2405,580,2472,607,2535,642,2592,685,2644,734,2691,790,2734,853,2772,921,2806,998,2835,1077,2859,1157,2880,1238,2899,1313,2919,1388,2938,1462,2977,1611,2998,1692,2999,1698,3001,1707,3001,1470,2975,1368,2954,1290,2934,1212,2913,1133,2892,1059,2866,987,2836,916,2800,848,2758,783,2708,719,2653,662,2593,614,2529,573,2470,545,2459,540,2384,515,2304,499,2224,487,2173,487,2134,491,2092,495,2071,497,2050,501,1969,521,1893,549,1823,584,1758,625,1699,673,1645,728,1597,790,1554,858,1517,933,1491,1003,1473,1073,1464,1145,1464,1218,1476,1292,1488,1334,1504,1376,1521,1418,1539,1458,1573,1534,1604,1610,1633,1686,1659,1764,1681,1843,1698,1923,1710,2005,1717,2080,1721,2154,1723,2229,1723,2298,1722,2305,1718,2379,2594,2379,2582,2320,2547,2142,2570,2142,2651,2142,2710,2142,2731,2142,2786,2131,2833,2103,2847,2085,2866,2060,2881,2007,2884,1961,2884,1923,2884,1764,2893,1763,2900,1763,2935,1763,2973,1763,2988,1763,2994,1763,3026,1756,3047,1740,3058,1714xe" filled="true" fillcolor="#ffffff" stroked="false">
              <v:path arrowok="t"/>
              <v:fill type="solid"/>
            </v:shape>
            <v:line style="position:absolute" from="3725,904" to="9083,904" stroked="true" strokeweight="1pt" strokecolor="#ffffff">
              <v:stroke dashstyle="solid"/>
            </v:line>
            <v:shape style="position:absolute;left:1004;top:250;width:8405;height:2444" type="#_x0000_t202" filled="false" stroked="false">
              <v:textbox inset="0,0,0,0">
                <w:txbxContent>
                  <w:p>
                    <w:pPr>
                      <w:spacing w:before="193"/>
                      <w:ind w:left="2721" w:right="0" w:firstLine="0"/>
                      <w:jc w:val="left"/>
                      <w:rPr>
                        <w:rFonts w:ascii="Avenir"/>
                        <w:b/>
                        <w:sz w:val="28"/>
                      </w:rPr>
                    </w:pPr>
                    <w:r>
                      <w:rPr>
                        <w:rFonts w:ascii="Avenir"/>
                        <w:b/>
                        <w:color w:val="FFFFFF"/>
                        <w:sz w:val="28"/>
                      </w:rPr>
                      <w:t>DID YOU KNOW?</w:t>
                    </w:r>
                  </w:p>
                  <w:p>
                    <w:pPr>
                      <w:spacing w:line="223" w:lineRule="auto" w:before="240"/>
                      <w:ind w:left="2721" w:right="284" w:firstLine="0"/>
                      <w:jc w:val="left"/>
                      <w:rPr>
                        <w:sz w:val="22"/>
                      </w:rPr>
                    </w:pPr>
                    <w:r>
                      <w:rPr>
                        <w:color w:val="FFFFFF"/>
                        <w:sz w:val="22"/>
                      </w:rPr>
                      <w:t>If the Regional Boards’ priorities and the steps they have taken to make progress on priorities were written as simple statements beginning, “Let me show you how we will…” then the connection between Boards’ work and their priorities would be easier to follow.</w:t>
                    </w:r>
                  </w:p>
                </w:txbxContent>
              </v:textbox>
              <w10:wrap type="none"/>
            </v:shape>
            <w10:wrap type="topAndBottom"/>
          </v:group>
        </w:pict>
      </w:r>
    </w:p>
    <w:p>
      <w:pPr>
        <w:spacing w:after="0"/>
        <w:rPr>
          <w:sz w:val="15"/>
        </w:rPr>
        <w:sectPr>
          <w:pgSz w:w="11910" w:h="16840"/>
          <w:pgMar w:top="0" w:bottom="0" w:left="520" w:right="520"/>
        </w:sectPr>
      </w:pPr>
    </w:p>
    <w:p>
      <w:pPr>
        <w:pStyle w:val="BodyText"/>
        <w:spacing w:before="1"/>
        <w:rPr>
          <w:sz w:val="15"/>
        </w:rPr>
      </w:pPr>
      <w:r>
        <w:rPr/>
        <w:pict>
          <v:group style="position:absolute;margin-left:.0pt;margin-top:0pt;width:841.9pt;height:28.35pt;mso-position-horizontal-relative:page;mso-position-vertical-relative:page;z-index:-17834496"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37"/>
                      <w:ind w:left="3659" w:right="3659" w:firstLine="0"/>
                      <w:jc w:val="center"/>
                      <w:rPr>
                        <w:sz w:val="20"/>
                      </w:rPr>
                    </w:pPr>
                    <w:r>
                      <w:rPr>
                        <w:color w:val="FFFFFF"/>
                        <w:sz w:val="20"/>
                      </w:rPr>
                      <w:t>Reporting on the Adequacy and Effectiveness of Arrangements to Safeguard Children and Adults in Wales</w:t>
                    </w:r>
                  </w:p>
                </w:txbxContent>
              </v:textbox>
              <w10:wrap type="none"/>
            </v:shape>
            <w10:wrap type="none"/>
          </v:group>
        </w:pict>
      </w:r>
      <w:r>
        <w:rPr/>
        <w:pict>
          <v:group style="position:absolute;margin-left:109.842018pt;margin-top:60.027pt;width:688.05pt;height:490.05pt;mso-position-horizontal-relative:page;mso-position-vertical-relative:page;z-index:15742976" coordorigin="2197,1201" coordsize="13761,9801">
            <v:rect style="position:absolute;left:2226;top:1200;width:13731;height:9771" filled="true" fillcolor="#231f20" stroked="false">
              <v:fill opacity="42598f" type="solid"/>
            </v:rect>
            <v:shape style="position:absolute;left:2199;top:1452;width:13503;height:9546" type="#_x0000_t75" stroked="false">
              <v:imagedata r:id="rId13" o:title=""/>
            </v:shape>
            <v:rect style="position:absolute;left:2199;top:1452;width:13503;height:9546" filled="false" stroked="true" strokeweight=".25pt" strokecolor="#231f20">
              <v:stroke dashstyle="solid"/>
            </v:rect>
            <w10:wrap type="none"/>
          </v:group>
        </w:pict>
      </w:r>
      <w:r>
        <w:rPr/>
        <w:pict>
          <v:shape style="position:absolute;margin-left:33.016014pt;margin-top:477.420288pt;width:12.95pt;height:84.85pt;mso-position-horizontal-relative:page;mso-position-vertical-relative:page;z-index:15743488" type="#_x0000_t202" filled="false" stroked="false">
            <v:textbox inset="0,0,0,0" style="layout-flow:vertical;mso-layout-flow-alt:bottom-to-top">
              <w:txbxContent>
                <w:p>
                  <w:pPr>
                    <w:spacing w:before="20"/>
                    <w:ind w:left="20" w:right="0" w:firstLine="0"/>
                    <w:jc w:val="left"/>
                    <w:rPr>
                      <w:sz w:val="16"/>
                    </w:rPr>
                  </w:pPr>
                  <w:r>
                    <w:rPr>
                      <w:color w:val="231F20"/>
                      <w:sz w:val="16"/>
                    </w:rPr>
                    <w:t>Annual Report 2017-18</w:t>
                  </w:r>
                </w:p>
              </w:txbxContent>
            </v:textbox>
            <w10:wrap type="none"/>
          </v:shape>
        </w:pict>
      </w:r>
      <w:r>
        <w:rPr/>
        <w:pict>
          <v:shape style="position:absolute;margin-left:33.016014pt;margin-top:61.362602pt;width:12.95pt;height:10.9pt;mso-position-horizontal-relative:page;mso-position-vertical-relative:page;z-index:15744000" type="#_x0000_t202" filled="false" stroked="false">
            <v:textbox inset="0,0,0,0" style="layout-flow:vertical;mso-layout-flow-alt:bottom-to-top">
              <w:txbxContent>
                <w:p>
                  <w:pPr>
                    <w:spacing w:before="20"/>
                    <w:ind w:left="20" w:right="0" w:firstLine="0"/>
                    <w:jc w:val="left"/>
                    <w:rPr>
                      <w:sz w:val="16"/>
                    </w:rPr>
                  </w:pPr>
                  <w:r>
                    <w:rPr>
                      <w:color w:val="231F20"/>
                      <w:sz w:val="16"/>
                    </w:rPr>
                    <w:t>13</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32448"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60"/>
                      <w:ind w:left="3659" w:right="3659" w:firstLine="0"/>
                      <w:jc w:val="center"/>
                      <w:rPr>
                        <w:sz w:val="20"/>
                      </w:rPr>
                    </w:pPr>
                    <w:r>
                      <w:rPr>
                        <w:color w:val="FFFFFF"/>
                        <w:sz w:val="20"/>
                      </w:rPr>
                      <w:t>Reporting on the Adequacy and Effectiveness of Arrangements to Safeguard Children and Adults in Wales</w:t>
                    </w:r>
                  </w:p>
                </w:txbxContent>
              </v:textbox>
              <w10:wrap type="none"/>
            </v:shape>
            <w10:wrap type="none"/>
          </v:group>
        </w:pict>
      </w:r>
      <w:r>
        <w:rPr/>
        <w:pict>
          <v:group style="position:absolute;margin-left:57.492001pt;margin-top:73.464996pt;width:688.05pt;height:490.05pt;mso-position-horizontal-relative:page;mso-position-vertical-relative:page;z-index:15745024" coordorigin="1150,1469" coordsize="13761,9801">
            <v:rect style="position:absolute;left:1149;top:1499;width:13731;height:9771" filled="true" fillcolor="#231f20" stroked="false">
              <v:fill opacity="42598f" type="solid"/>
            </v:rect>
            <v:shape style="position:absolute;left:1405;top:1471;width:13503;height:9546" type="#_x0000_t75" stroked="false">
              <v:imagedata r:id="rId14" o:title=""/>
            </v:shape>
            <v:rect style="position:absolute;left:1405;top:1471;width:13503;height:9546" filled="false" stroked="true" strokeweight=".25pt" strokecolor="#231f20">
              <v:stroke dashstyle="solid"/>
            </v:rect>
            <w10:wrap type="none"/>
          </v:group>
        </w:pict>
      </w:r>
      <w:r>
        <w:rPr/>
        <w:pict>
          <v:shape style="position:absolute;margin-left:795.945984pt;margin-top:61.362202pt;width:12.95pt;height:10.9pt;mso-position-horizontal-relative:page;mso-position-vertical-relative:page;z-index:15745536" type="#_x0000_t202" filled="false" stroked="false">
            <v:textbox inset="0,0,0,0" style="layout-flow:vertical">
              <w:txbxContent>
                <w:p>
                  <w:pPr>
                    <w:spacing w:before="20"/>
                    <w:ind w:left="20" w:right="0" w:firstLine="0"/>
                    <w:jc w:val="left"/>
                    <w:rPr>
                      <w:sz w:val="16"/>
                    </w:rPr>
                  </w:pPr>
                  <w:r>
                    <w:rPr>
                      <w:color w:val="231F20"/>
                      <w:sz w:val="16"/>
                    </w:rPr>
                    <w:t>14</w:t>
                  </w:r>
                </w:p>
              </w:txbxContent>
            </v:textbox>
            <w10:wrap type="none"/>
          </v:shape>
        </w:pict>
      </w:r>
      <w:r>
        <w:rPr/>
        <w:pict>
          <v:shape style="position:absolute;margin-left:795.945984pt;margin-top:384.949493pt;width:12.95pt;height:177.35pt;mso-position-horizontal-relative:page;mso-position-vertical-relative:page;z-index:15746048" type="#_x0000_t202" filled="false" stroked="false">
            <v:textbox inset="0,0,0,0" style="layout-flow:vertical">
              <w:txbxContent>
                <w:p>
                  <w:pPr>
                    <w:spacing w:before="20"/>
                    <w:ind w:left="20" w:right="0" w:firstLine="0"/>
                    <w:jc w:val="left"/>
                    <w:rPr>
                      <w:sz w:val="16"/>
                    </w:rPr>
                  </w:pPr>
                  <w:r>
                    <w:rPr>
                      <w:color w:val="231F20"/>
                      <w:sz w:val="16"/>
                    </w:rPr>
                    <w:t>National Independent Safeguarding Board Wales</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30400"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37"/>
                      <w:ind w:left="3659" w:right="3659" w:firstLine="0"/>
                      <w:jc w:val="center"/>
                      <w:rPr>
                        <w:sz w:val="20"/>
                      </w:rPr>
                    </w:pPr>
                    <w:r>
                      <w:rPr>
                        <w:color w:val="FFFFFF"/>
                        <w:sz w:val="20"/>
                      </w:rPr>
                      <w:t>Reporting on the Adequacy and Effectiveness of Arrangements to Safeguard Children and Adults in Wales</w:t>
                    </w:r>
                  </w:p>
                </w:txbxContent>
              </v:textbox>
              <w10:wrap type="none"/>
            </v:shape>
            <w10:wrap type="none"/>
          </v:group>
        </w:pict>
      </w:r>
      <w:r>
        <w:rPr/>
        <w:pict>
          <v:group style="position:absolute;margin-left:96.378014pt;margin-top:60.027pt;width:688.05pt;height:490.05pt;mso-position-horizontal-relative:page;mso-position-vertical-relative:page;z-index:15747072" coordorigin="1928,1201" coordsize="13761,9801">
            <v:rect style="position:absolute;left:1957;top:1200;width:13731;height:9771" filled="true" fillcolor="#231f20" stroked="false">
              <v:fill opacity="42598f" type="solid"/>
            </v:rect>
            <v:shape style="position:absolute;left:1930;top:1452;width:13503;height:9546" type="#_x0000_t75" stroked="false">
              <v:imagedata r:id="rId15" o:title=""/>
            </v:shape>
            <v:rect style="position:absolute;left:1930;top:1452;width:13503;height:9546" filled="false" stroked="true" strokeweight=".25pt" strokecolor="#231f20">
              <v:stroke dashstyle="solid"/>
            </v:rect>
            <w10:wrap type="none"/>
          </v:group>
        </w:pict>
      </w:r>
      <w:r>
        <w:rPr/>
        <w:pict>
          <v:shape style="position:absolute;margin-left:33.016014pt;margin-top:477.420288pt;width:12.95pt;height:84.85pt;mso-position-horizontal-relative:page;mso-position-vertical-relative:page;z-index:15747584" type="#_x0000_t202" filled="false" stroked="false">
            <v:textbox inset="0,0,0,0" style="layout-flow:vertical;mso-layout-flow-alt:bottom-to-top">
              <w:txbxContent>
                <w:p>
                  <w:pPr>
                    <w:spacing w:before="20"/>
                    <w:ind w:left="20" w:right="0" w:firstLine="0"/>
                    <w:jc w:val="left"/>
                    <w:rPr>
                      <w:sz w:val="16"/>
                    </w:rPr>
                  </w:pPr>
                  <w:r>
                    <w:rPr>
                      <w:color w:val="231F20"/>
                      <w:sz w:val="16"/>
                    </w:rPr>
                    <w:t>Annual Report 2017-18</w:t>
                  </w:r>
                </w:p>
              </w:txbxContent>
            </v:textbox>
            <w10:wrap type="none"/>
          </v:shape>
        </w:pict>
      </w:r>
      <w:r>
        <w:rPr/>
        <w:pict>
          <v:shape style="position:absolute;margin-left:33.016014pt;margin-top:61.362602pt;width:12.95pt;height:10.9pt;mso-position-horizontal-relative:page;mso-position-vertical-relative:page;z-index:15748096" type="#_x0000_t202" filled="false" stroked="false">
            <v:textbox inset="0,0,0,0" style="layout-flow:vertical;mso-layout-flow-alt:bottom-to-top">
              <w:txbxContent>
                <w:p>
                  <w:pPr>
                    <w:spacing w:before="20"/>
                    <w:ind w:left="20" w:right="0" w:firstLine="0"/>
                    <w:jc w:val="left"/>
                    <w:rPr>
                      <w:sz w:val="16"/>
                    </w:rPr>
                  </w:pPr>
                  <w:r>
                    <w:rPr>
                      <w:color w:val="231F20"/>
                      <w:sz w:val="16"/>
                    </w:rPr>
                    <w:t>15</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28352"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60"/>
                      <w:ind w:left="3659" w:right="3659" w:firstLine="0"/>
                      <w:jc w:val="center"/>
                      <w:rPr>
                        <w:sz w:val="20"/>
                      </w:rPr>
                    </w:pPr>
                    <w:r>
                      <w:rPr>
                        <w:color w:val="FFFFFF"/>
                        <w:sz w:val="20"/>
                      </w:rPr>
                      <w:t>Reporting on the Adequacy and Effectiveness of Arrangements to Safeguard Children and Adults in Wales</w:t>
                    </w:r>
                  </w:p>
                </w:txbxContent>
              </v:textbox>
              <w10:wrap type="none"/>
            </v:shape>
            <w10:wrap type="none"/>
          </v:group>
        </w:pict>
      </w:r>
      <w:r>
        <w:rPr/>
        <w:pict>
          <v:group style="position:absolute;margin-left:56.074001pt;margin-top:73.464996pt;width:688.05pt;height:490.05pt;mso-position-horizontal-relative:page;mso-position-vertical-relative:page;z-index:15749120" coordorigin="1121,1469" coordsize="13761,9801">
            <v:rect style="position:absolute;left:1121;top:1499;width:13731;height:9771" filled="true" fillcolor="#231f20" stroked="false">
              <v:fill opacity="42598f" type="solid"/>
            </v:rect>
            <v:shape style="position:absolute;left:1376;top:1471;width:13503;height:9546" type="#_x0000_t75" stroked="false">
              <v:imagedata r:id="rId16" o:title=""/>
            </v:shape>
            <v:rect style="position:absolute;left:1376;top:1471;width:13503;height:9546" filled="false" stroked="true" strokeweight=".25pt" strokecolor="#231f20">
              <v:stroke dashstyle="solid"/>
            </v:rect>
            <w10:wrap type="none"/>
          </v:group>
        </w:pict>
      </w:r>
      <w:r>
        <w:rPr/>
        <w:pict>
          <v:shape style="position:absolute;margin-left:795.945984pt;margin-top:61.362202pt;width:12.95pt;height:10.9pt;mso-position-horizontal-relative:page;mso-position-vertical-relative:page;z-index:15749632" type="#_x0000_t202" filled="false" stroked="false">
            <v:textbox inset="0,0,0,0" style="layout-flow:vertical">
              <w:txbxContent>
                <w:p>
                  <w:pPr>
                    <w:spacing w:before="20"/>
                    <w:ind w:left="20" w:right="0" w:firstLine="0"/>
                    <w:jc w:val="left"/>
                    <w:rPr>
                      <w:sz w:val="16"/>
                    </w:rPr>
                  </w:pPr>
                  <w:r>
                    <w:rPr>
                      <w:color w:val="231F20"/>
                      <w:sz w:val="16"/>
                    </w:rPr>
                    <w:t>16</w:t>
                  </w:r>
                </w:p>
              </w:txbxContent>
            </v:textbox>
            <w10:wrap type="none"/>
          </v:shape>
        </w:pict>
      </w:r>
      <w:r>
        <w:rPr/>
        <w:pict>
          <v:shape style="position:absolute;margin-left:795.945984pt;margin-top:384.949493pt;width:12.95pt;height:177.35pt;mso-position-horizontal-relative:page;mso-position-vertical-relative:page;z-index:15750144" type="#_x0000_t202" filled="false" stroked="false">
            <v:textbox inset="0,0,0,0" style="layout-flow:vertical">
              <w:txbxContent>
                <w:p>
                  <w:pPr>
                    <w:spacing w:before="20"/>
                    <w:ind w:left="20" w:right="0" w:firstLine="0"/>
                    <w:jc w:val="left"/>
                    <w:rPr>
                      <w:sz w:val="16"/>
                    </w:rPr>
                  </w:pPr>
                  <w:r>
                    <w:rPr>
                      <w:color w:val="231F20"/>
                      <w:sz w:val="16"/>
                    </w:rPr>
                    <w:t>National Independent Safeguarding Board Wales</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26304"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37"/>
                      <w:ind w:left="3659" w:right="3659" w:firstLine="0"/>
                      <w:jc w:val="center"/>
                      <w:rPr>
                        <w:sz w:val="20"/>
                      </w:rPr>
                    </w:pPr>
                    <w:r>
                      <w:rPr>
                        <w:color w:val="FFFFFF"/>
                        <w:sz w:val="20"/>
                      </w:rPr>
                      <w:t>Reporting on the Adequacy and Effectiveness of Arrangements to Safeguard Children and Adults in Wales</w:t>
                    </w:r>
                  </w:p>
                </w:txbxContent>
              </v:textbox>
              <w10:wrap type="none"/>
            </v:shape>
            <w10:wrap type="none"/>
          </v:group>
        </w:pict>
      </w:r>
      <w:r>
        <w:rPr/>
        <w:pict>
          <v:group style="position:absolute;margin-left:97.795013pt;margin-top:60.027pt;width:688.05pt;height:490.05pt;mso-position-horizontal-relative:page;mso-position-vertical-relative:page;z-index:15751168" coordorigin="1956,1201" coordsize="13761,9801">
            <v:rect style="position:absolute;left:1985;top:1200;width:13731;height:9771" filled="true" fillcolor="#231f20" stroked="false">
              <v:fill opacity="42598f" type="solid"/>
            </v:rect>
            <v:shape style="position:absolute;left:1958;top:1452;width:13503;height:9546" type="#_x0000_t75" stroked="false">
              <v:imagedata r:id="rId17" o:title=""/>
            </v:shape>
            <v:rect style="position:absolute;left:1958;top:1452;width:13503;height:9546" filled="false" stroked="true" strokeweight=".25pt" strokecolor="#231f20">
              <v:stroke dashstyle="solid"/>
            </v:rect>
            <w10:wrap type="none"/>
          </v:group>
        </w:pict>
      </w:r>
      <w:r>
        <w:rPr/>
        <w:pict>
          <v:shape style="position:absolute;margin-left:33.016014pt;margin-top:477.420288pt;width:12.95pt;height:84.85pt;mso-position-horizontal-relative:page;mso-position-vertical-relative:page;z-index:15751680" type="#_x0000_t202" filled="false" stroked="false">
            <v:textbox inset="0,0,0,0" style="layout-flow:vertical;mso-layout-flow-alt:bottom-to-top">
              <w:txbxContent>
                <w:p>
                  <w:pPr>
                    <w:spacing w:before="20"/>
                    <w:ind w:left="20" w:right="0" w:firstLine="0"/>
                    <w:jc w:val="left"/>
                    <w:rPr>
                      <w:sz w:val="16"/>
                    </w:rPr>
                  </w:pPr>
                  <w:r>
                    <w:rPr>
                      <w:color w:val="231F20"/>
                      <w:sz w:val="16"/>
                    </w:rPr>
                    <w:t>Annual Report 2017-18</w:t>
                  </w:r>
                </w:p>
              </w:txbxContent>
            </v:textbox>
            <w10:wrap type="none"/>
          </v:shape>
        </w:pict>
      </w:r>
      <w:r>
        <w:rPr/>
        <w:pict>
          <v:shape style="position:absolute;margin-left:33.016014pt;margin-top:61.362602pt;width:12.95pt;height:10.9pt;mso-position-horizontal-relative:page;mso-position-vertical-relative:page;z-index:15752192" type="#_x0000_t202" filled="false" stroked="false">
            <v:textbox inset="0,0,0,0" style="layout-flow:vertical;mso-layout-flow-alt:bottom-to-top">
              <w:txbxContent>
                <w:p>
                  <w:pPr>
                    <w:spacing w:before="20"/>
                    <w:ind w:left="20" w:right="0" w:firstLine="0"/>
                    <w:jc w:val="left"/>
                    <w:rPr>
                      <w:sz w:val="16"/>
                    </w:rPr>
                  </w:pPr>
                  <w:r>
                    <w:rPr>
                      <w:color w:val="231F20"/>
                      <w:sz w:val="16"/>
                    </w:rPr>
                    <w:t>17</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24256"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60"/>
                      <w:ind w:left="3659" w:right="3659" w:firstLine="0"/>
                      <w:jc w:val="center"/>
                      <w:rPr>
                        <w:sz w:val="20"/>
                      </w:rPr>
                    </w:pPr>
                    <w:r>
                      <w:rPr>
                        <w:color w:val="FFFFFF"/>
                        <w:sz w:val="20"/>
                      </w:rPr>
                      <w:t>Reporting on the Adequacy and Effectiveness of Arrangements to Safeguard Children and Adults in Wales</w:t>
                    </w:r>
                  </w:p>
                </w:txbxContent>
              </v:textbox>
              <w10:wrap type="none"/>
            </v:shape>
            <w10:wrap type="none"/>
          </v:group>
        </w:pict>
      </w:r>
      <w:r>
        <w:rPr/>
        <w:pict>
          <v:group style="position:absolute;margin-left:56.074001pt;margin-top:73.464996pt;width:688.05pt;height:490.05pt;mso-position-horizontal-relative:page;mso-position-vertical-relative:page;z-index:15753216" coordorigin="1121,1469" coordsize="13761,9801">
            <v:rect style="position:absolute;left:1121;top:1499;width:13731;height:9771" filled="true" fillcolor="#231f20" stroked="false">
              <v:fill opacity="42598f" type="solid"/>
            </v:rect>
            <v:shape style="position:absolute;left:1376;top:1471;width:13503;height:9546" type="#_x0000_t75" stroked="false">
              <v:imagedata r:id="rId18" o:title=""/>
            </v:shape>
            <v:rect style="position:absolute;left:1376;top:1471;width:13503;height:9546" filled="false" stroked="true" strokeweight=".25pt" strokecolor="#231f20">
              <v:stroke dashstyle="solid"/>
            </v:rect>
            <w10:wrap type="none"/>
          </v:group>
        </w:pict>
      </w:r>
      <w:r>
        <w:rPr/>
        <w:pict>
          <v:shape style="position:absolute;margin-left:795.945984pt;margin-top:61.362202pt;width:12.95pt;height:10.9pt;mso-position-horizontal-relative:page;mso-position-vertical-relative:page;z-index:15753728" type="#_x0000_t202" filled="false" stroked="false">
            <v:textbox inset="0,0,0,0" style="layout-flow:vertical">
              <w:txbxContent>
                <w:p>
                  <w:pPr>
                    <w:spacing w:before="20"/>
                    <w:ind w:left="20" w:right="0" w:firstLine="0"/>
                    <w:jc w:val="left"/>
                    <w:rPr>
                      <w:sz w:val="16"/>
                    </w:rPr>
                  </w:pPr>
                  <w:r>
                    <w:rPr>
                      <w:color w:val="231F20"/>
                      <w:sz w:val="16"/>
                    </w:rPr>
                    <w:t>18</w:t>
                  </w:r>
                </w:p>
              </w:txbxContent>
            </v:textbox>
            <w10:wrap type="none"/>
          </v:shape>
        </w:pict>
      </w:r>
      <w:r>
        <w:rPr/>
        <w:pict>
          <v:shape style="position:absolute;margin-left:795.945984pt;margin-top:384.949493pt;width:12.95pt;height:177.35pt;mso-position-horizontal-relative:page;mso-position-vertical-relative:page;z-index:15754240" type="#_x0000_t202" filled="false" stroked="false">
            <v:textbox inset="0,0,0,0" style="layout-flow:vertical">
              <w:txbxContent>
                <w:p>
                  <w:pPr>
                    <w:spacing w:before="20"/>
                    <w:ind w:left="20" w:right="0" w:firstLine="0"/>
                    <w:jc w:val="left"/>
                    <w:rPr>
                      <w:sz w:val="16"/>
                    </w:rPr>
                  </w:pPr>
                  <w:r>
                    <w:rPr>
                      <w:color w:val="231F20"/>
                      <w:sz w:val="16"/>
                    </w:rPr>
                    <w:t>National Independent Safeguarding Board Wales</w:t>
                  </w:r>
                </w:p>
              </w:txbxContent>
            </v:textbox>
            <w10:wrap type="none"/>
          </v:shape>
        </w:pict>
      </w:r>
    </w:p>
    <w:p>
      <w:pPr>
        <w:spacing w:after="0"/>
        <w:rPr>
          <w:sz w:val="15"/>
        </w:rPr>
        <w:sectPr>
          <w:pgSz w:w="16840" w:h="11910" w:orient="landscape"/>
          <w:pgMar w:top="0" w:bottom="280" w:left="2420" w:right="2420"/>
        </w:sectPr>
      </w:pPr>
    </w:p>
    <w:p>
      <w:pPr>
        <w:pStyle w:val="BodyText"/>
        <w:rPr>
          <w:sz w:val="20"/>
        </w:rPr>
      </w:pPr>
      <w:r>
        <w:rPr/>
        <w:pict>
          <v:rect style="position:absolute;margin-left:566.929016pt;margin-top:0pt;width:28.347001pt;height:841.890015pt;mso-position-horizontal-relative:page;mso-position-vertical-relative:page;z-index:15755264" filled="true" fillcolor="#3b957d" stroked="false">
            <v:fill type="solid"/>
            <w10:wrap type="none"/>
          </v:rect>
        </w:pict>
      </w:r>
      <w:r>
        <w:rPr/>
        <w:pict>
          <v:shape style="position:absolute;margin-left:42.828342pt;margin-top:388.828522pt;width:116.95pt;height:11pt;mso-position-horizontal-relative:page;mso-position-vertical-relative:page;z-index:15757312;rotation:1" type="#_x0000_t136" fillcolor="#6d6e71" stroked="f">
            <o:extrusion v:ext="view" autorotationcenter="t"/>
            <v:textpath style="font-family:&quot;Avenir&quot;;font-size:11pt;v-text-kern:t;mso-text-shadow:auto;font-weight:bold" string="From: Cardiff and Vale"/>
            <w10:wrap type="none"/>
          </v:shape>
        </w:pict>
      </w:r>
      <w:r>
        <w:rPr/>
        <w:pict>
          <v:shape style="position:absolute;margin-left:42.336769pt;margin-top:416.983032pt;width:115.3pt;height:11pt;mso-position-horizontal-relative:page;mso-position-vertical-relative:page;z-index:15757824;rotation:1" type="#_x0000_t136" fillcolor="#231f20" stroked="f">
            <o:extrusion v:ext="view" autorotationcenter="t"/>
            <v:textpath style="font-family:&quot;Avenir&quot;;font-size:11pt;v-text-kern:t;mso-text-shadow:auto;font-weight:bold" string="Subject: Collaboration"/>
            <w10:wrap type="none"/>
          </v:shape>
        </w:pict>
      </w:r>
      <w:r>
        <w:rPr/>
        <w:pict>
          <v:shape style="position:absolute;margin-left:41.326656pt;margin-top:476.39325pt;width:467.35pt;height:11pt;mso-position-horizontal-relative:page;mso-position-vertical-relative:page;z-index:15758336;rotation:1" type="#_x0000_t136" fillcolor="#231f20" stroked="f">
            <o:extrusion v:ext="view" autorotationcenter="t"/>
            <v:textpath style="font-family:&quot;Avenir-Book&quot;;font-size:11pt;v-text-kern:t;mso-text-shadow:auto" string="Collaborative work has been underway with other Regional Boards to ensure a robust approach"/>
            <w10:wrap type="none"/>
          </v:shape>
        </w:pict>
      </w:r>
      <w:r>
        <w:rPr/>
        <w:pict>
          <v:shape style="position:absolute;margin-left:41.081692pt;margin-top:490.455811pt;width:474.75pt;height:11pt;mso-position-horizontal-relative:page;mso-position-vertical-relative:page;z-index:15758848;rotation:1" type="#_x0000_t136" fillcolor="#231f20" stroked="f">
            <o:extrusion v:ext="view" autorotationcenter="t"/>
            <v:textpath style="font-family:&quot;Avenir-Book&quot;;font-size:11pt;v-text-kern:t;mso-text-shadow:auto" string="to the Child Practice Review (CPR) Panel process. The CPR Panel and Sub Group (of our Regional"/>
            <w10:wrap type="none"/>
          </v:shape>
        </w:pict>
      </w:r>
      <w:r>
        <w:rPr/>
        <w:pict>
          <v:shape style="position:absolute;margin-left:40.837666pt;margin-top:504.422119pt;width:471.15pt;height:11pt;mso-position-horizontal-relative:page;mso-position-vertical-relative:page;z-index:15759360;rotation:1" type="#_x0000_t136" fillcolor="#231f20" stroked="f">
            <o:extrusion v:ext="view" autorotationcenter="t"/>
            <v:textpath style="font-family:&quot;Avenir-Book&quot;;font-size:11pt;v-text-kern:t;mso-text-shadow:auto" string="Board) coordinated closely with Cardiff’s Community Partnership Team during the preparation of"/>
            <w10:wrap type="none"/>
          </v:shape>
        </w:pict>
      </w:r>
      <w:r>
        <w:rPr/>
        <w:pict>
          <v:shape style="position:absolute;margin-left:40.594212pt;margin-top:518.323181pt;width:460.05pt;height:11pt;mso-position-horizontal-relative:page;mso-position-vertical-relative:page;z-index:15759872;rotation:1" type="#_x0000_t136" fillcolor="#231f20" stroked="f">
            <o:extrusion v:ext="view" autorotationcenter="t"/>
            <v:textpath style="font-family:&quot;Avenir-Book&quot;;font-size:11pt;v-text-kern:t;mso-text-shadow:auto" string="a CPR and a Domestic Homicide Review. We made links with Darlington’s Safeguarding Board"/>
            <w10:wrap type="none"/>
          </v:shape>
        </w:pict>
      </w:r>
      <w:r>
        <w:rPr/>
        <w:pict>
          <v:shape style="position:absolute;margin-left:40.349892pt;margin-top:532.311829pt;width:459pt;height:11pt;mso-position-horizontal-relative:page;mso-position-vertical-relative:page;z-index:15760384;rotation:1" type="#_x0000_t136" fillcolor="#231f20" stroked="f">
            <o:extrusion v:ext="view" autorotationcenter="t"/>
            <v:textpath style="font-family:&quot;Avenir-Book&quot;;font-size:11pt;v-text-kern:t;mso-text-shadow:auto" string="to share examples of multi-agency datasets. We are also in contact with Barnsley, which wants"/>
            <w10:wrap type="none"/>
          </v:shape>
        </w:pict>
      </w:r>
      <w:r>
        <w:rPr/>
        <w:pict>
          <v:shape style="position:absolute;margin-left:40.105850pt;margin-top:546.279785pt;width:455.55pt;height:11pt;mso-position-horizontal-relative:page;mso-position-vertical-relative:page;z-index:15760896;rotation:1" type="#_x0000_t136" fillcolor="#231f20" stroked="f">
            <o:extrusion v:ext="view" autorotationcenter="t"/>
            <v:textpath style="font-family:&quot;Avenir-Book&quot;;font-size:11pt;v-text-kern:t;mso-text-shadow:auto" string="to use the Protocol for Fabricated Illness and Related Conditions. We have been represented"/>
            <w10:wrap type="none"/>
          </v:shape>
        </w:pict>
      </w:r>
      <w:r>
        <w:rPr/>
        <w:pict>
          <v:shape style="position:absolute;margin-left:39.863319pt;margin-top:560.075378pt;width:432.4pt;height:11pt;mso-position-horizontal-relative:page;mso-position-vertical-relative:page;z-index:15761408;rotation:1" type="#_x0000_t136" fillcolor="#231f20" stroked="f">
            <o:extrusion v:ext="view" autorotationcenter="t"/>
            <v:textpath style="font-family:&quot;Avenir-Book&quot;;font-size:11pt;v-text-kern:t;mso-text-shadow:auto;font-style:italic" string="at National Independent Safeguarding Board events, including its Safeguarding in Sport"/>
            <w10:wrap type="none"/>
          </v:shape>
        </w:pict>
      </w:r>
      <w:r>
        <w:rPr/>
        <w:pict>
          <v:shape style="position:absolute;margin-left:39.647469pt;margin-top:570.801575pt;width:57.5pt;height:11pt;mso-position-horizontal-relative:page;mso-position-vertical-relative:page;z-index:15761920;rotation:1" type="#_x0000_t136" fillcolor="#231f20" stroked="f">
            <o:extrusion v:ext="view" autorotationcenter="t"/>
            <v:textpath style="font-family:&quot;Avenir-Book&quot;;font-size:11pt;v-text-kern:t;mso-text-shadow:auto" string="conference."/>
            <w10:wrap type="none"/>
          </v:shape>
        </w:pict>
      </w:r>
      <w:r>
        <w:rPr/>
        <w:pict>
          <v:shape style="position:absolute;margin-left:573.765198pt;margin-top:182.052719pt;width:15.7pt;height:477.8pt;mso-position-horizontal-relative:page;mso-position-vertical-relative:page;z-index:15762432"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19</w:t>
      </w:r>
    </w:p>
    <w:p>
      <w:pPr>
        <w:pStyle w:val="BodyText"/>
        <w:rPr>
          <w:sz w:val="48"/>
        </w:rPr>
      </w:pPr>
    </w:p>
    <w:p>
      <w:pPr>
        <w:pStyle w:val="BodyText"/>
        <w:spacing w:before="3"/>
        <w:rPr>
          <w:sz w:val="46"/>
        </w:rPr>
      </w:pPr>
    </w:p>
    <w:p>
      <w:pPr>
        <w:pStyle w:val="Heading1"/>
        <w:spacing w:line="211" w:lineRule="auto" w:before="0"/>
        <w:ind w:right="734"/>
      </w:pPr>
      <w:r>
        <w:rPr>
          <w:color w:val="3B957D"/>
        </w:rPr>
        <w:t>How the Safeguarding Boards have collaborated in activities relating to their objectives</w:t>
      </w:r>
    </w:p>
    <w:p>
      <w:pPr>
        <w:pStyle w:val="BodyText"/>
        <w:spacing w:line="230" w:lineRule="auto" w:before="235"/>
        <w:ind w:left="360" w:right="734"/>
      </w:pPr>
      <w:r>
        <w:rPr>
          <w:color w:val="231F20"/>
        </w:rPr>
        <w:t>The allocation of resources to advance collaboration should mirror Boards’ priorities. Since not all Regional Boards addressed “how” they have collaborated in their annual reports, we can state that they are collaborating with an array of bodies as well as with each other via meetings for the Business Managers, meetings for the children’s and adults’ boards in the same safeguarding area and latterly, Chairs meetings. There is a willingness to join resources to deliver a defined service or product which may embrace the goal of mutual learning and benefit.</w:t>
      </w:r>
    </w:p>
    <w:p>
      <w:pPr>
        <w:pStyle w:val="BodyText"/>
        <w:spacing w:before="11"/>
        <w:rPr>
          <w:sz w:val="20"/>
        </w:rPr>
      </w:pPr>
    </w:p>
    <w:p>
      <w:pPr>
        <w:pStyle w:val="BodyText"/>
        <w:spacing w:line="286" w:lineRule="exact"/>
        <w:ind w:left="360"/>
      </w:pPr>
      <w:r>
        <w:rPr>
          <w:color w:val="231F20"/>
        </w:rPr>
        <w:t>In the following imagined emails, we illustrate how each Board might describe their collaboration in</w:t>
      </w:r>
    </w:p>
    <w:p>
      <w:pPr>
        <w:pStyle w:val="BodyText"/>
        <w:spacing w:line="286" w:lineRule="exact"/>
        <w:ind w:left="360"/>
      </w:pPr>
      <w:r>
        <w:rPr/>
        <w:pict>
          <v:group style="position:absolute;margin-left:25.555pt;margin-top:41.058979pt;width:517.0500pt;height:351.45pt;mso-position-horizontal-relative:page;mso-position-vertical-relative:paragraph;z-index:15755776" coordorigin="511,821" coordsize="10341,7029">
            <v:rect style="position:absolute;left:541;top:851;width:10311;height:6999" filled="true" fillcolor="#231f20" stroked="false">
              <v:fill opacity="26214f" type="solid"/>
            </v:rect>
            <v:shape style="position:absolute;left:513;top:823;width:10092;height:6776" coordorigin="514,824" coordsize="10092,6776" path="m629,824l514,7425,10490,7599,10605,998,629,824xe" filled="true" fillcolor="#ffffff" stroked="false">
              <v:path arrowok="t"/>
              <v:fill type="solid"/>
            </v:shape>
            <v:shape style="position:absolute;left:513;top:823;width:10092;height:6776" coordorigin="514,824" coordsize="10092,6776" path="m629,824l514,7425,10490,7599,10605,998,629,824xe" filled="false" stroked="true" strokeweight=".25pt" strokecolor="#231f20">
              <v:path arrowok="t"/>
              <v:stroke dashstyle="solid"/>
            </v:shape>
            <v:line style="position:absolute" from="838,3476" to="10181,3639" stroked="true" strokeweight=".25pt" strokecolor="#231f20">
              <v:stroke dashstyle="solid"/>
            </v:line>
            <v:shape style="position:absolute;left:721;top:6774;width:5922;height:567" type="#_x0000_t75" stroked="false">
              <v:imagedata r:id="rId19" o:title=""/>
            </v:shape>
            <v:shape style="position:absolute;left:760;top:6486;width:7545;height:390" type="#_x0000_t202" filled="false" stroked="false">
              <v:textbox inset="0,0,0,0">
                <w:txbxContent>
                  <w:p>
                    <w:pPr>
                      <w:spacing w:before="24"/>
                      <w:ind w:left="20" w:right="0" w:firstLine="0"/>
                      <w:jc w:val="left"/>
                      <w:rPr>
                        <w:sz w:val="16"/>
                      </w:rPr>
                    </w:pPr>
                    <w:r>
                      <w:rPr>
                        <w:color w:val="6D6E71"/>
                        <w:position w:val="2"/>
                        <w:sz w:val="16"/>
                      </w:rPr>
                      <w:t>This email </w:t>
                    </w:r>
                    <w:r>
                      <w:rPr>
                        <w:color w:val="6D6E71"/>
                        <w:position w:val="1"/>
                        <w:sz w:val="16"/>
                      </w:rPr>
                      <w:t>and any </w:t>
                    </w:r>
                    <w:r>
                      <w:rPr>
                        <w:color w:val="6D6E71"/>
                        <w:sz w:val="16"/>
                      </w:rPr>
                      <w:t>attachments </w:t>
                    </w:r>
                    <w:r>
                      <w:rPr>
                        <w:color w:val="6D6E71"/>
                        <w:position w:val="-1"/>
                        <w:sz w:val="16"/>
                      </w:rPr>
                      <w:t>may contain </w:t>
                    </w:r>
                    <w:r>
                      <w:rPr>
                        <w:color w:val="6D6E71"/>
                        <w:position w:val="-2"/>
                        <w:sz w:val="16"/>
                      </w:rPr>
                      <w:t>confidential </w:t>
                    </w:r>
                    <w:r>
                      <w:rPr>
                        <w:color w:val="6D6E71"/>
                        <w:position w:val="-4"/>
                        <w:sz w:val="16"/>
                      </w:rPr>
                      <w:t>material </w:t>
                    </w:r>
                    <w:r>
                      <w:rPr>
                        <w:color w:val="6D6E71"/>
                        <w:position w:val="-5"/>
                        <w:sz w:val="16"/>
                      </w:rPr>
                      <w:t>and is </w:t>
                    </w:r>
                    <w:r>
                      <w:rPr>
                        <w:color w:val="6D6E71"/>
                        <w:position w:val="-6"/>
                        <w:sz w:val="16"/>
                      </w:rPr>
                      <w:t>solely for </w:t>
                    </w:r>
                    <w:r>
                      <w:rPr>
                        <w:color w:val="6D6E71"/>
                        <w:position w:val="-7"/>
                        <w:sz w:val="16"/>
                      </w:rPr>
                      <w:t>the use </w:t>
                    </w:r>
                    <w:r>
                      <w:rPr>
                        <w:color w:val="6D6E71"/>
                        <w:position w:val="-8"/>
                        <w:sz w:val="16"/>
                      </w:rPr>
                      <w:t>of the </w:t>
                    </w:r>
                    <w:r>
                      <w:rPr>
                        <w:color w:val="6D6E71"/>
                        <w:position w:val="-9"/>
                        <w:sz w:val="16"/>
                      </w:rPr>
                      <w:t>recipient</w:t>
                    </w:r>
                  </w:p>
                </w:txbxContent>
              </v:textbox>
              <w10:wrap type="none"/>
            </v:shape>
            <w10:wrap type="none"/>
          </v:group>
        </w:pict>
      </w:r>
      <w:r>
        <w:rPr/>
        <w:pict>
          <v:shape style="position:absolute;margin-left:43.814732pt;margin-top:58.03101pt;width:77.6pt;height:11pt;mso-position-horizontal-relative:page;mso-position-vertical-relative:paragraph;z-index:15756288;rotation:1" type="#_x0000_t136" fillcolor="#6d6e71" stroked="f">
            <o:extrusion v:ext="view" autorotationcenter="t"/>
            <v:textpath style="font-family:&quot;Avenir&quot;;font-size:11pt;v-text-kern:t;mso-text-shadow:auto;font-weight:bold" string="To: The Reader"/>
            <w10:wrap type="none"/>
          </v:shape>
        </w:pict>
      </w:r>
      <w:r>
        <w:rPr/>
        <w:pict>
          <v:shape style="position:absolute;margin-left:43.32383pt;margin-top:86.109581pt;width:67.25pt;height:11pt;mso-position-horizontal-relative:page;mso-position-vertical-relative:paragraph;z-index:15756800;rotation:1" type="#_x0000_t136" fillcolor="#6d6e71" stroked="f">
            <o:extrusion v:ext="view" autorotationcenter="t"/>
            <v:textpath style="font-family:&quot;Avenir&quot;;font-size:11pt;v-text-kern:t;mso-text-shadow:auto;font-weight:bold" string="Cc: Ministers"/>
            <w10:wrap type="none"/>
          </v:shape>
        </w:pict>
      </w:r>
      <w:r>
        <w:rPr>
          <w:color w:val="231F20"/>
        </w:rPr>
        <w:t>practice.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w:pict>
          <v:group style="position:absolute;margin-left:113.165802pt;margin-top:16.177219pt;width:419.75pt;height:121.2pt;mso-position-horizontal-relative:page;mso-position-vertical-relative:paragraph;z-index:-15702528;mso-wrap-distance-left:0;mso-wrap-distance-right:0" coordorigin="2263,324" coordsize="8395,2424">
            <v:shape style="position:absolute;left:3480;top:403;width:7178;height:2297" coordorigin="3481,404" coordsize="7178,2297" path="m10091,404l4048,404,3720,413,3552,475,3490,643,3481,971,3481,2133,3490,2461,3552,2629,3720,2691,4048,2700,10091,2700,10419,2691,10587,2629,10649,2461,10658,2133,10658,971,10649,643,10587,475,10419,413,10091,404xe" filled="true" fillcolor="#3e77a4" stroked="false">
              <v:path arrowok="t"/>
              <v:fill type="solid"/>
            </v:shape>
            <v:shape style="position:absolute;left:2263;top:323;width:2424;height:2424" coordorigin="2263,324" coordsize="2424,2424" path="m3475,324l3398,326,3323,333,3249,345,3177,361,3106,381,3037,405,2970,433,2905,465,2843,501,2783,541,2725,583,2670,629,2618,678,2569,730,2523,785,2480,843,2441,903,2405,966,2373,1030,2345,1097,2321,1166,2300,1237,2284,1309,2273,1383,2266,1459,2263,1535,2266,1612,2273,1687,2284,1761,2300,1833,2321,1904,2345,1973,2373,2040,2405,2105,2441,2167,2480,2227,2523,2285,2569,2340,2618,2392,2670,2441,2725,2487,2783,2530,2843,2569,2905,2605,2970,2637,3037,2665,3106,2689,3177,2710,3249,2726,3323,2737,3398,2744,3475,2747,3552,2744,3627,2737,3701,2726,3773,2710,3844,2689,3913,2665,3980,2637,4044,2605,4107,2569,4167,2530,4225,2487,4280,2441,4332,2392,4381,2340,4427,2285,4469,2227,4509,2167,4545,2105,4577,2040,4605,1973,4629,1904,4649,1833,4665,1761,4677,1687,4684,1612,4686,1535,4684,1459,4677,1383,4665,1309,4649,1237,4629,1166,4605,1097,4577,1030,4545,966,4509,903,4469,843,4427,785,4381,730,4332,678,4280,629,4225,583,4167,541,4107,501,4044,465,3980,433,3913,405,3844,381,3773,361,3701,345,3627,333,3552,326,3475,324xe" filled="true" fillcolor="#d5583b" stroked="false">
              <v:path arrowok="t"/>
              <v:fill type="solid"/>
            </v:shape>
            <v:shape style="position:absolute;left:2722;top:555;width:1595;height:1892" coordorigin="2723,556" coordsize="1595,1892" path="m3097,1234l3088,1174,2965,1191,2974,1251,3097,1234xm3124,1017l3016,961,2987,1017,3095,1072,3124,1017xm3166,1388l3133,1335,3030,1401,3063,1453,3166,1388xm3239,899l3171,807,3121,844,3189,936,3239,899xm3400,856l3385,748,3325,756,3341,864,3400,856xm3571,1689l3409,1712,3421,1722,3434,1731,3448,1740,3465,1751,3477,1751,3500,1748,3521,1741,3539,1729,3554,1710,3558,1703,3564,1697,3571,1689xm3583,1573l3579,1546,3568,1539,3366,1567,3359,1577,3362,1604,3373,1612,3474,1597,3575,1583,3583,1573xm3589,1649l3585,1620,3575,1613,3382,1640,3373,1651,3377,1678,3389,1686,3484,1672,3581,1658,3589,1649xm3602,775l3544,754,3504,862,3563,883,3602,775xm3669,1169l3665,1123,3649,1067,3624,1019,3588,979,3540,948,3490,929,3439,920,3387,922,3335,933,3267,963,3215,1005,3179,1058,3159,1119,3157,1185,3172,1254,3183,1284,3198,1311,3216,1337,3234,1362,3276,1415,3297,1443,3316,1473,3330,1504,3339,1539,3399,1530,3398,1525,3398,1519,3384,1479,3377,1462,3370,1445,3352,1414,3331,1384,3285,1327,3267,1303,3250,1278,3236,1251,3226,1222,3217,1163,3227,1107,3253,1057,3298,1017,3329,1000,3361,989,3394,983,3429,982,3501,998,3557,1037,3594,1096,3607,1168,3604,1201,3597,1233,3587,1264,3575,1295,3562,1327,3549,1359,3538,1391,3530,1425,3527,1446,3525,1468,3525,1490,3527,1512,3587,1503,3586,1461,3594,1421,3607,1381,3640,1301,3655,1258,3665,1214,3669,1169xm3779,904l3736,859,3648,943,3691,987,3779,904xm3844,1284l3728,1255,3713,1315,3829,1344,3844,1284xm3858,1125l3849,1065,3725,1083,3734,1142,3858,1125xm4317,1783l4315,1751,4260,1538,4260,1776,4090,1776,4089,1831,4089,1878,4089,1938,4089,1991,4090,2043,4082,2090,4059,2125,4023,2147,3981,2154,3896,2152,3811,2152,3641,2153,3614,2153,3614,2210,3749,2210,3784,2388,3038,2388,3038,2366,3038,2283,3035,2200,3029,2117,3020,2035,3007,1953,2989,1872,2965,1792,2940,1723,2913,1655,2885,1588,2856,1520,2842,1485,2826,1451,2811,1416,2798,1381,2791,1360,2786,1339,2783,1317,2781,1295,2784,1214,2794,1137,2812,1065,2837,997,2870,934,2910,875,2958,820,3013,770,3075,725,3144,683,3214,652,3286,630,3360,618,3435,614,3511,617,3590,629,3664,649,3732,676,3794,711,3851,753,3903,802,3951,858,3993,921,4031,990,4065,1067,4094,1145,4118,1226,4139,1307,4158,1381,4178,1456,4197,1531,4236,1680,4257,1760,4258,1766,4260,1776,4260,1538,4234,1437,4214,1359,4193,1280,4173,1202,4151,1128,4125,1055,4095,985,4059,917,4017,851,3967,787,3912,731,3852,682,3788,641,3729,614,3718,608,3643,584,3563,567,3483,556,3432,556,3393,560,3351,563,3330,566,3309,569,3228,590,3152,618,3082,652,3017,693,2958,742,2904,796,2856,858,2813,927,2776,1002,2750,1071,2732,1142,2723,1214,2723,1287,2735,1360,2747,1403,2763,1445,2780,1486,2799,1527,2832,1602,2863,1678,2892,1755,2918,1832,2940,1911,2958,1991,2969,2074,2976,2148,2980,2223,2983,2298,2982,2366,2982,2373,2977,2448,3853,2448,3841,2388,3806,2210,3830,2210,3910,2210,3970,2210,3990,2210,4046,2200,4092,2171,4106,2154,4125,2129,4140,2075,4143,2030,4143,1991,4143,1832,4152,1832,4160,1831,4195,1831,4232,1831,4247,1831,4254,1831,4285,1825,4306,1808,4317,1783xe" filled="true" fillcolor="#ffffff" stroked="false">
              <v:path arrowok="t"/>
              <v:fill type="solid"/>
            </v:shape>
            <v:line style="position:absolute" from="4884,1000" to="10210,1000" stroked="true" strokeweight="1pt" strokecolor="#ffffff">
              <v:stroke dashstyle="solid"/>
            </v:line>
            <v:shape style="position:absolute;left:2263;top:323;width:8395;height:2424" type="#_x0000_t202" filled="false" stroked="false">
              <v:textbox inset="0,0,0,0">
                <w:txbxContent>
                  <w:p>
                    <w:pPr>
                      <w:spacing w:before="217"/>
                      <w:ind w:left="2621" w:right="0" w:firstLine="0"/>
                      <w:jc w:val="left"/>
                      <w:rPr>
                        <w:rFonts w:ascii="Avenir"/>
                        <w:b/>
                        <w:sz w:val="28"/>
                      </w:rPr>
                    </w:pPr>
                    <w:r>
                      <w:rPr>
                        <w:rFonts w:ascii="Avenir"/>
                        <w:b/>
                        <w:color w:val="FFFFFF"/>
                        <w:sz w:val="28"/>
                      </w:rPr>
                      <w:t>DID YOU KNOW?</w:t>
                    </w:r>
                  </w:p>
                  <w:p>
                    <w:pPr>
                      <w:spacing w:line="278" w:lineRule="exact" w:before="225"/>
                      <w:ind w:left="2621" w:right="0" w:firstLine="0"/>
                      <w:jc w:val="left"/>
                      <w:rPr>
                        <w:sz w:val="22"/>
                      </w:rPr>
                    </w:pPr>
                    <w:r>
                      <w:rPr>
                        <w:color w:val="FFFFFF"/>
                        <w:sz w:val="22"/>
                      </w:rPr>
                      <w:t>Coalitions, networks, movements, alliances, co-funding,</w:t>
                    </w:r>
                  </w:p>
                  <w:p>
                    <w:pPr>
                      <w:spacing w:line="264" w:lineRule="exact" w:before="0"/>
                      <w:ind w:left="2621" w:right="0" w:firstLine="0"/>
                      <w:jc w:val="left"/>
                      <w:rPr>
                        <w:sz w:val="22"/>
                      </w:rPr>
                    </w:pPr>
                    <w:r>
                      <w:rPr>
                        <w:color w:val="FFFFFF"/>
                        <w:sz w:val="22"/>
                      </w:rPr>
                      <w:t>collective impact initiatives and campaigning may</w:t>
                    </w:r>
                  </w:p>
                  <w:p>
                    <w:pPr>
                      <w:spacing w:line="218" w:lineRule="auto" w:before="6"/>
                      <w:ind w:left="2621" w:right="502" w:firstLine="0"/>
                      <w:jc w:val="left"/>
                      <w:rPr>
                        <w:sz w:val="22"/>
                      </w:rPr>
                    </w:pPr>
                    <w:r>
                      <w:rPr>
                        <w:color w:val="FFFFFF"/>
                        <w:sz w:val="22"/>
                      </w:rPr>
                      <w:t>all </w:t>
                    </w:r>
                    <w:r>
                      <w:rPr>
                        <w:color w:val="FFFFFF"/>
                        <w:spacing w:val="-4"/>
                        <w:sz w:val="22"/>
                      </w:rPr>
                      <w:t>result from </w:t>
                    </w:r>
                    <w:r>
                      <w:rPr>
                        <w:color w:val="FFFFFF"/>
                        <w:sz w:val="22"/>
                      </w:rPr>
                      <w:t>the </w:t>
                    </w:r>
                    <w:r>
                      <w:rPr>
                        <w:color w:val="FFFFFF"/>
                        <w:spacing w:val="-3"/>
                        <w:sz w:val="22"/>
                      </w:rPr>
                      <w:t>question: </w:t>
                    </w:r>
                    <w:r>
                      <w:rPr>
                        <w:color w:val="FFFFFF"/>
                        <w:sz w:val="22"/>
                      </w:rPr>
                      <w:t>how </w:t>
                    </w:r>
                    <w:r>
                      <w:rPr>
                        <w:color w:val="FFFFFF"/>
                        <w:spacing w:val="-3"/>
                        <w:sz w:val="22"/>
                      </w:rPr>
                      <w:t>will </w:t>
                    </w:r>
                    <w:r>
                      <w:rPr>
                        <w:color w:val="FFFFFF"/>
                        <w:spacing w:val="-4"/>
                        <w:sz w:val="22"/>
                      </w:rPr>
                      <w:t>children, </w:t>
                    </w:r>
                    <w:r>
                      <w:rPr>
                        <w:color w:val="FFFFFF"/>
                        <w:spacing w:val="-3"/>
                        <w:sz w:val="22"/>
                      </w:rPr>
                      <w:t>young people </w:t>
                    </w:r>
                    <w:r>
                      <w:rPr>
                        <w:color w:val="FFFFFF"/>
                        <w:sz w:val="22"/>
                      </w:rPr>
                      <w:t>and </w:t>
                    </w:r>
                    <w:r>
                      <w:rPr>
                        <w:color w:val="FFFFFF"/>
                        <w:spacing w:val="-3"/>
                        <w:sz w:val="22"/>
                      </w:rPr>
                      <w:t>adults </w:t>
                    </w:r>
                    <w:r>
                      <w:rPr>
                        <w:color w:val="FFFFFF"/>
                        <w:sz w:val="22"/>
                      </w:rPr>
                      <w:t>at </w:t>
                    </w:r>
                    <w:r>
                      <w:rPr>
                        <w:color w:val="FFFFFF"/>
                        <w:spacing w:val="-3"/>
                        <w:sz w:val="22"/>
                      </w:rPr>
                      <w:t>risk </w:t>
                    </w:r>
                    <w:r>
                      <w:rPr>
                        <w:color w:val="FFFFFF"/>
                        <w:sz w:val="22"/>
                      </w:rPr>
                      <w:t>of harm </w:t>
                    </w:r>
                    <w:r>
                      <w:rPr>
                        <w:color w:val="FFFFFF"/>
                        <w:spacing w:val="-3"/>
                        <w:sz w:val="22"/>
                      </w:rPr>
                      <w:t>benefit </w:t>
                    </w:r>
                    <w:r>
                      <w:rPr>
                        <w:color w:val="FFFFFF"/>
                        <w:spacing w:val="-4"/>
                        <w:sz w:val="22"/>
                      </w:rPr>
                      <w:t>from </w:t>
                    </w:r>
                    <w:r>
                      <w:rPr>
                        <w:color w:val="FFFFFF"/>
                        <w:spacing w:val="-3"/>
                        <w:sz w:val="22"/>
                      </w:rPr>
                      <w:t>what we </w:t>
                    </w:r>
                    <w:r>
                      <w:rPr>
                        <w:color w:val="FFFFFF"/>
                        <w:spacing w:val="-4"/>
                        <w:sz w:val="22"/>
                      </w:rPr>
                      <w:t>are </w:t>
                    </w:r>
                    <w:r>
                      <w:rPr>
                        <w:color w:val="FFFFFF"/>
                        <w:spacing w:val="-3"/>
                        <w:sz w:val="22"/>
                      </w:rPr>
                      <w:t>doing?</w:t>
                    </w:r>
                  </w:p>
                </w:txbxContent>
              </v:textbox>
              <w10:wrap type="none"/>
            </v:shape>
            <w10:wrap type="topAndBottom"/>
          </v:group>
        </w:pict>
      </w:r>
    </w:p>
    <w:p>
      <w:pPr>
        <w:spacing w:after="0"/>
        <w:rPr>
          <w:sz w:val="21"/>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813504" filled="true" fillcolor="#3b957d" stroked="false">
            <v:fill type="solid"/>
            <w10:wrap type="none"/>
          </v:rect>
        </w:pict>
      </w:r>
      <w:r>
        <w:rPr/>
        <w:pict>
          <v:shape style="position:absolute;margin-left:72.886086pt;margin-top:168.278671pt;width:78.350pt;height:11pt;mso-position-horizontal-relative:page;mso-position-vertical-relative:page;z-index:15765504;rotation:1" type="#_x0000_t136" fillcolor="#6d6e71" stroked="f">
            <o:extrusion v:ext="view" autorotationcenter="t"/>
            <v:textpath style="font-family:&quot;Avenir&quot;;font-size:11pt;v-text-kern:t;mso-text-shadow:auto;font-weight:bold" string="From: Cwm Taf"/>
            <w10:wrap type="none"/>
          </v:shape>
        </w:pict>
      </w:r>
      <w:r>
        <w:rPr/>
        <w:pict>
          <v:shape style="position:absolute;margin-left:72.391571pt;margin-top:196.77034pt;width:115.3pt;height:11pt;mso-position-horizontal-relative:page;mso-position-vertical-relative:page;z-index:15766016;rotation:1" type="#_x0000_t136" fillcolor="#231f20" stroked="f">
            <o:extrusion v:ext="view" autorotationcenter="t"/>
            <v:textpath style="font-family:&quot;Avenir&quot;;font-size:11pt;v-text-kern:t;mso-text-shadow:auto;font-weight:bold" string="Subject: Collaboration"/>
            <w10:wrap type="none"/>
          </v:shape>
        </w:pict>
      </w:r>
      <w:r>
        <w:rPr/>
        <w:pict>
          <v:shape style="position:absolute;margin-left:71.384117pt;margin-top:255.864197pt;width:431.1pt;height:11pt;mso-position-horizontal-relative:page;mso-position-vertical-relative:page;z-index:15766528;rotation:1" type="#_x0000_t136" fillcolor="#231f20" stroked="f">
            <o:extrusion v:ext="view" autorotationcenter="t"/>
            <v:textpath style="font-family:&quot;Avenir-Book&quot;;font-size:11pt;v-text-kern:t;mso-text-shadow:auto" string="Collaboration with the Community Safety Partnership and the Violence Against Women,"/>
            <w10:wrap type="none"/>
          </v:shape>
        </w:pict>
      </w:r>
      <w:r>
        <w:rPr/>
        <w:pict>
          <v:shape style="position:absolute;margin-left:71.137123pt;margin-top:270.170349pt;width:466.4pt;height:11pt;mso-position-horizontal-relative:page;mso-position-vertical-relative:page;z-index:15767040;rotation:1" type="#_x0000_t136" fillcolor="#231f20" stroked="f">
            <o:extrusion v:ext="view" autorotationcenter="t"/>
            <v:textpath style="font-family:&quot;Avenir-Book&quot;;font-size:11pt;v-text-kern:t;mso-text-shadow:auto" string="Domestic Abuse and Sexual Violence agenda has included training for professionals and a joint"/>
            <w10:wrap type="none"/>
          </v:shape>
        </w:pict>
      </w:r>
      <w:r>
        <w:rPr/>
        <w:pict>
          <v:shape style="position:absolute;margin-left:70.892776pt;margin-top:284.162384pt;width:465.75pt;height:11pt;mso-position-horizontal-relative:page;mso-position-vertical-relative:page;z-index:15767552;rotation:1" type="#_x0000_t136" fillcolor="#231f20" stroked="f">
            <o:extrusion v:ext="view" autorotationcenter="t"/>
            <v:textpath style="font-family:&quot;Avenir-Book&quot;;font-size:11pt;v-text-kern:t;mso-text-shadow:auto" string="review of the Multi Agency Risk Assessment Conference domestic abuse service. Work with the"/>
            <w10:wrap type="none"/>
          </v:shape>
        </w:pict>
      </w:r>
      <w:r>
        <w:rPr/>
        <w:pict>
          <v:shape style="position:absolute;margin-left:70.649811pt;margin-top:298.007233pt;width:448.25pt;height:11pt;mso-position-horizontal-relative:page;mso-position-vertical-relative:page;z-index:15768064;rotation:1" type="#_x0000_t136" fillcolor="#231f20" stroked="f">
            <o:extrusion v:ext="view" autorotationcenter="t"/>
            <v:textpath style="font-family:&quot;Avenir-Book&quot;;font-size:11pt;v-text-kern:t;mso-text-shadow:auto" string="Public Service Board has contributed to a Cwm Taf Population Needs Assessment. We have"/>
            <w10:wrap type="none"/>
          </v:shape>
        </w:pict>
      </w:r>
      <w:r>
        <w:rPr/>
        <w:pict>
          <v:shape style="position:absolute;margin-left:70.405212pt;margin-top:312.03952pt;width:452.15pt;height:11pt;mso-position-horizontal-relative:page;mso-position-vertical-relative:page;z-index:15768576;rotation:1" type="#_x0000_t136" fillcolor="#231f20" stroked="f">
            <o:extrusion v:ext="view" autorotationcenter="t"/>
            <v:textpath style="font-family:&quot;Avenir-Book&quot;;font-size:11pt;v-text-kern:t;mso-text-shadow:auto" string="collaborated with the Welsh Government on statutory guidance; training for Child and Adult"/>
            <w10:wrap type="none"/>
          </v:shape>
        </w:pict>
      </w:r>
      <w:r>
        <w:rPr/>
        <w:pict>
          <v:shape style="position:absolute;margin-left:70.160339pt;margin-top:326.091095pt;width:458.3pt;height:11pt;mso-position-horizontal-relative:page;mso-position-vertical-relative:page;z-index:15769088;rotation:1" type="#_x0000_t136" fillcolor="#231f20" stroked="f">
            <o:extrusion v:ext="view" autorotationcenter="t"/>
            <v:textpath style="font-family:&quot;Avenir-Book&quot;;font-size:11pt;v-text-kern:t;mso-text-shadow:auto" string="Practice Reviewers; an online resource library for Modern Slavery; a self-assessment toolkit for"/>
            <w10:wrap type="none"/>
          </v:shape>
        </w:pict>
      </w:r>
      <w:r>
        <w:rPr/>
        <w:pict>
          <v:shape style="position:absolute;margin-left:69.91655pt;margin-top:340.030609pt;width:451.65pt;height:11pt;mso-position-horizontal-relative:page;mso-position-vertical-relative:page;z-index:15769600;rotation:1" type="#_x0000_t136" fillcolor="#231f20" stroked="f">
            <o:extrusion v:ext="view" autorotationcenter="t"/>
            <v:textpath style="font-family:&quot;Avenir-Book&quot;;font-size:11pt;v-text-kern:t;mso-text-shadow:auto" string="Boards; a National Training Framework for Wales; and a Mental Capacity Act/ Deprivation of"/>
            <w10:wrap type="none"/>
          </v:shape>
        </w:pict>
      </w:r>
      <w:r>
        <w:rPr/>
        <w:pict>
          <v:shape style="position:absolute;margin-left:69.671165pt;margin-top:354.153137pt;width:465.9pt;height:11pt;mso-position-horizontal-relative:page;mso-position-vertical-relative:page;z-index:15770112;rotation:1" type="#_x0000_t136" fillcolor="#231f20" stroked="f">
            <o:extrusion v:ext="view" autorotationcenter="t"/>
            <v:textpath style="font-family:&quot;Avenir-Book&quot;;font-size:11pt;v-text-kern:t;mso-text-shadow:auto" string="Liberty Safeguards Network. The Board is represented on the Children’s Commissioner’s Round"/>
            <w10:wrap type="none"/>
          </v:shape>
        </w:pict>
      </w:r>
      <w:r>
        <w:rPr/>
        <w:pict>
          <v:shape style="position:absolute;margin-left:69.426552pt;margin-top:368.174286pt;width:468.6pt;height:11pt;mso-position-horizontal-relative:page;mso-position-vertical-relative:page;z-index:15770624;rotation:1" type="#_x0000_t136" fillcolor="#231f20" stroked="f">
            <o:extrusion v:ext="view" autorotationcenter="t"/>
            <v:textpath style="font-family:&quot;Avenir-Book&quot;;font-size:11pt;v-text-kern:t;mso-text-shadow:auto" string="Table on Child Sexual Exploitation; it works with the National Independent Safeguarding Board;"/>
            <w10:wrap type="none"/>
          </v:shape>
        </w:pict>
      </w:r>
      <w:r>
        <w:rPr/>
        <w:pict>
          <v:shape style="position:absolute;margin-left:69.182709pt;margin-top:382.121094pt;width:462.75pt;height:11pt;mso-position-horizontal-relative:page;mso-position-vertical-relative:page;z-index:15771136;rotation:1" type="#_x0000_t136" fillcolor="#231f20" stroked="f">
            <o:extrusion v:ext="view" autorotationcenter="t"/>
            <v:textpath style="font-family:&quot;Avenir-Book&quot;;font-size:11pt;v-text-kern:t;mso-text-shadow:auto" string="and Care Inspectorate Wales concerning children placed outside Cwm Taf’s safeguarding area."/>
            <w10:wrap type="none"/>
          </v:shape>
        </w:pict>
      </w:r>
      <w:r>
        <w:rPr/>
        <w:pict>
          <v:shape style="position:absolute;margin-left:7.0315pt;margin-top:182.052505pt;width:15.7pt;height:477.8pt;mso-position-horizontal-relative:page;mso-position-vertical-relative:page;z-index:-17805312"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pict>
          <v:shape style="position:absolute;margin-left:68.039764pt;margin-top:498.869324pt;width:77.6pt;height:11pt;mso-position-horizontal-relative:page;mso-position-vertical-relative:page;z-index:15772160;rotation:358" type="#_x0000_t136" fillcolor="#6d6e71" stroked="f">
            <o:extrusion v:ext="view" autorotationcenter="t"/>
            <v:textpath style="font-family:&quot;Avenir&quot;;font-size:11pt;v-text-kern:t;mso-text-shadow:auto;font-weight:bold" string="To: The Reader"/>
            <w10:wrap type="none"/>
          </v:shape>
        </w:pict>
      </w:r>
      <w:r>
        <w:rPr/>
        <w:pict>
          <v:shape style="position:absolute;margin-left:69.02623pt;margin-top:527.206238pt;width:67.25pt;height:11pt;mso-position-horizontal-relative:page;mso-position-vertical-relative:page;z-index:15772672;rotation:358" type="#_x0000_t136" fillcolor="#6d6e71" stroked="f">
            <o:extrusion v:ext="view" autorotationcenter="t"/>
            <v:textpath style="font-family:&quot;Avenir&quot;;font-size:11pt;v-text-kern:t;mso-text-shadow:auto;font-weight:bold" string="Cc: Ministers"/>
            <w10:wrap type="none"/>
          </v:shape>
        </w:pict>
      </w:r>
      <w:r>
        <w:rPr/>
        <w:pict>
          <v:shape style="position:absolute;margin-left:70.009064pt;margin-top:555.341309pt;width:68.45pt;height:11pt;mso-position-horizontal-relative:page;mso-position-vertical-relative:page;z-index:15773184;rotation:358" type="#_x0000_t136" fillcolor="#6d6e71" stroked="f">
            <o:extrusion v:ext="view" autorotationcenter="t"/>
            <v:textpath style="font-family:&quot;Avenir&quot;;font-size:11pt;v-text-kern:t;mso-text-shadow:auto;font-weight:bold" string="From: Gwent"/>
            <w10:wrap type="none"/>
          </v:shape>
        </w:pict>
      </w:r>
      <w:r>
        <w:rPr/>
        <w:pict>
          <v:shape style="position:absolute;margin-left:70.977989pt;margin-top:582.679688pt;width:115.3pt;height:11pt;mso-position-horizontal-relative:page;mso-position-vertical-relative:page;z-index:15773696;rotation:358" type="#_x0000_t136" fillcolor="#231f20" stroked="f">
            <o:extrusion v:ext="view" autorotationcenter="t"/>
            <v:textpath style="font-family:&quot;Avenir&quot;;font-size:11pt;v-text-kern:t;mso-text-shadow:auto;font-weight:bold" string="Subject: Collaboration"/>
            <w10:wrap type="none"/>
          </v:shape>
        </w:pict>
      </w:r>
      <w:r>
        <w:rPr/>
        <w:pict>
          <v:shape style="position:absolute;margin-left:72.842033pt;margin-top:633.122009pt;width:451.7pt;height:11pt;mso-position-horizontal-relative:page;mso-position-vertical-relative:page;z-index:15774208;rotation:358" type="#_x0000_t136" fillcolor="#231f20" stroked="f">
            <o:extrusion v:ext="view" autorotationcenter="t"/>
            <v:textpath style="font-family:&quot;Avenir-Book&quot;;font-size:11pt;v-text-kern:t;mso-text-shadow:auto" string="We have listed the key bodies represented on the Regional Board as well as the lead bodies"/>
            <w10:wrap type="none"/>
          </v:shape>
        </w:pict>
      </w:r>
      <w:r>
        <w:rPr/>
        <w:pict>
          <v:shape style="position:absolute;margin-left:73.324509pt;margin-top:646.762634pt;width:471.8pt;height:11pt;mso-position-horizontal-relative:page;mso-position-vertical-relative:page;z-index:15774720;rotation:358" type="#_x0000_t136" fillcolor="#231f20" stroked="f">
            <o:extrusion v:ext="view" autorotationcenter="t"/>
            <v:textpath style="font-family:&quot;Avenir-Book&quot;;font-size:11pt;v-text-kern:t;mso-text-shadow:auto" string="within the five local authority areas: Education, Children’s and Adults’ Services, statutory housing"/>
            <w10:wrap type="none"/>
          </v:shape>
        </w:pict>
      </w:r>
      <w:r>
        <w:rPr/>
        <w:pict>
          <v:shape style="position:absolute;margin-left:73.820274pt;margin-top:661.164917pt;width:448.25pt;height:11pt;mso-position-horizontal-relative:page;mso-position-vertical-relative:page;z-index:15775232;rotation:358" type="#_x0000_t136" fillcolor="#231f20" stroked="f">
            <o:extrusion v:ext="view" autorotationcenter="t"/>
            <v:textpath style="font-family:&quot;Avenir-Book&quot;;font-size:11pt;v-text-kern:t;mso-text-shadow:auto" string="providers and youth offending services. We have strong working links with Violence Against"/>
            <w10:wrap type="none"/>
          </v:shape>
        </w:pict>
      </w:r>
      <w:r>
        <w:rPr/>
        <w:pict>
          <v:shape style="position:absolute;margin-left:74.308495pt;margin-top:675.134338pt;width:449.5pt;height:11pt;mso-position-horizontal-relative:page;mso-position-vertical-relative:page;z-index:15775744;rotation:358" type="#_x0000_t136" fillcolor="#231f20" stroked="f">
            <o:extrusion v:ext="view" autorotationcenter="t"/>
            <v:textpath style="font-family:&quot;Avenir-Book&quot;;font-size:11pt;v-text-kern:t;mso-text-shadow:auto" string="Women Domestic Abuse and Sexual Violence, the Regional Partnership Board, the National"/>
            <w10:wrap type="none"/>
          </v:shape>
        </w:pict>
      </w:r>
      <w:r>
        <w:rPr/>
        <w:pict>
          <v:shape style="position:absolute;margin-left:74.795609pt;margin-top:689.040649pt;width:454.4pt;height:11pt;mso-position-horizontal-relative:page;mso-position-vertical-relative:page;z-index:15776256;rotation:358" type="#_x0000_t136" fillcolor="#231f20" stroked="f">
            <o:extrusion v:ext="view" autorotationcenter="t"/>
            <v:textpath style="font-family:&quot;Avenir-Book&quot;;font-size:11pt;v-text-kern:t;mso-text-shadow:auto" string="Independent Safeguarding Board, and have worked with Gwent Citizens’ Panel, children and"/>
            <w10:wrap type="none"/>
          </v:shape>
        </w:pict>
      </w:r>
      <w:r>
        <w:rPr/>
        <w:pict>
          <v:shape style="position:absolute;margin-left:75.356644pt;margin-top:707.181946pt;width:216.6pt;height:11pt;mso-position-horizontal-relative:page;mso-position-vertical-relative:page;z-index:15776768;rotation:358" type="#_x0000_t136" fillcolor="#231f20" stroked="f">
            <o:extrusion v:ext="view" autorotationcenter="t"/>
            <v:textpath style="font-family:&quot;Avenir-Book&quot;;font-size:11pt;v-text-kern:t;mso-text-shadow:auto" string="young people, parents, carers and survivors."/>
            <w10:wrap type="none"/>
          </v:shape>
        </w:pict>
      </w:r>
      <w:r>
        <w:rPr/>
        <w:pict>
          <v:shape style="position:absolute;margin-left:76.324738pt;margin-top:735.021851pt;width:375.15pt;height:8pt;mso-position-horizontal-relative:page;mso-position-vertical-relative:page;z-index:15777280;rotation:358" type="#_x0000_t136" fillcolor="#6d6e71" stroked="f">
            <o:extrusion v:ext="view" autorotationcenter="t"/>
            <v:textpath style="font-family:&quot;Avenir-Book&quot;;font-size:8pt;v-text-kern:t;mso-text-shadow:auto" string="This email and any attachments may contain confidential material and is solely for the use of the recipient"/>
            <w10:wrap type="none"/>
          </v:shape>
        </w:pict>
      </w:r>
    </w:p>
    <w:p>
      <w:pPr>
        <w:pStyle w:val="BodyText"/>
        <w:spacing w:before="6"/>
      </w:pPr>
    </w:p>
    <w:p>
      <w:pPr>
        <w:tabs>
          <w:tab w:pos="7398" w:val="left" w:leader="none"/>
        </w:tabs>
        <w:spacing w:before="100"/>
        <w:ind w:left="927" w:right="0" w:firstLine="0"/>
        <w:jc w:val="left"/>
        <w:rPr>
          <w:sz w:val="16"/>
        </w:rPr>
      </w:pPr>
      <w:r>
        <w:rPr/>
        <w:pict>
          <v:group style="position:absolute;margin-left:54.4417pt;margin-top:65.946327pt;width:522.1pt;height:710.7pt;mso-position-horizontal-relative:page;mso-position-vertical-relative:paragraph;z-index:-17812992" coordorigin="1089,1319" coordsize="10442,14214">
            <v:rect style="position:absolute;left:1125;top:8800;width:10404;height:6732" filled="true" fillcolor="#231f20" stroked="false">
              <v:fill opacity="26214f" type="solid"/>
            </v:rect>
            <v:shape style="position:absolute;left:1091;top:8766;width:10188;height:6517" coordorigin="1091,8766" coordsize="10188,6517" path="m11063,8766l1091,9114,1307,15282,11279,14934,11063,8766xe" filled="true" fillcolor="#ffffff" stroked="false">
              <v:path arrowok="t"/>
              <v:fill type="solid"/>
            </v:shape>
            <v:shape style="position:absolute;left:1091;top:8766;width:10188;height:6517" coordorigin="1091,8766" coordsize="10188,6517" path="m1091,9114l1307,15282,11279,14934,11063,8766,1091,9114xe" filled="false" stroked="true" strokeweight=".25pt" strokecolor="#231f20">
              <v:path arrowok="t"/>
              <v:stroke dashstyle="solid"/>
            </v:shape>
            <v:rect style="position:absolute;left:1128;top:1348;width:10325;height:7784" filled="true" fillcolor="#231f20" stroked="false">
              <v:fill opacity="26214f" type="solid"/>
            </v:rect>
            <v:shape style="position:absolute;left:1101;top:1321;width:10106;height:7558" coordorigin="1101,1321" coordsize="10106,7558" path="m1230,1321l1101,8705,11077,8879,11206,1496,1230,1321xe" filled="true" fillcolor="#ffffff" stroked="false">
              <v:path arrowok="t"/>
              <v:fill type="solid"/>
            </v:shape>
            <v:shape style="position:absolute;left:1101;top:1321;width:10106;height:7558" coordorigin="1101,1321" coordsize="10106,7558" path="m1230,1321l1101,8705,11077,8879,11206,1496,1230,1321xe" filled="false" stroked="true" strokeweight=".25pt" strokecolor="#231f20">
              <v:path arrowok="t"/>
              <v:stroke dashstyle="solid"/>
            </v:shape>
            <v:line style="position:absolute" from="1439,11752" to="10778,11426" stroked="true" strokeweight=".25pt" strokecolor="#231f20">
              <v:stroke dashstyle="solid"/>
            </v:line>
            <v:line style="position:absolute" from="1439,3974" to="10782,4137" stroked="true" strokeweight=".25pt" strokecolor="#231f20">
              <v:stroke dashstyle="solid"/>
            </v:line>
            <v:shape style="position:absolute;left:1331;top:7839;width:5922;height:567" type="#_x0000_t75" stroked="false">
              <v:imagedata r:id="rId19" o:title=""/>
            </v:shape>
            <v:shape style="position:absolute;left:1541;top:14277;width:5927;height:670" type="#_x0000_t75" stroked="false">
              <v:imagedata r:id="rId20" o:title=""/>
            </v:shape>
            <w10:wrap type="none"/>
          </v:group>
        </w:pict>
      </w:r>
      <w:r>
        <w:rPr/>
        <w:pict>
          <v:shape style="position:absolute;margin-left:73.86953pt;margin-top:82.918549pt;width:77.6pt;height:11pt;mso-position-horizontal-relative:page;mso-position-vertical-relative:paragraph;z-index:15764480;rotation:1" type="#_x0000_t136" fillcolor="#6d6e71" stroked="f">
            <o:extrusion v:ext="view" autorotationcenter="t"/>
            <v:textpath style="font-family:&quot;Avenir&quot;;font-size:11pt;v-text-kern:t;mso-text-shadow:auto;font-weight:bold" string="To: The Reader"/>
            <w10:wrap type="none"/>
          </v:shape>
        </w:pict>
      </w:r>
      <w:r>
        <w:rPr/>
        <w:pict>
          <v:shape style="position:absolute;margin-left:73.378632pt;margin-top:110.997017pt;width:67.25pt;height:11pt;mso-position-horizontal-relative:page;mso-position-vertical-relative:paragraph;z-index:15764992;rotation:1" type="#_x0000_t136" fillcolor="#6d6e71" stroked="f">
            <o:extrusion v:ext="view" autorotationcenter="t"/>
            <v:textpath style="font-family:&quot;Avenir&quot;;font-size:11pt;v-text-kern:t;mso-text-shadow:auto;font-weight:bold" string="Cc: Ministers"/>
            <w10:wrap type="none"/>
          </v:shape>
        </w:pict>
      </w:r>
      <w:r>
        <w:rPr>
          <w:color w:val="231F20"/>
          <w:sz w:val="16"/>
        </w:rPr>
        <w:t>20</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r>
        <w:rPr/>
        <w:pict>
          <v:shape style="position:absolute;margin-left:67.614304pt;margin-top:17.1245pt;width:377.25pt;height:19.5pt;mso-position-horizontal-relative:page;mso-position-vertical-relative:paragraph;z-index:-15694336;mso-wrap-distance-left:0;mso-wrap-distance-right:0" type="#_x0000_t202" filled="false" stroked="false">
            <v:textbox inset="0,0,0,0">
              <w:txbxContent>
                <w:p>
                  <w:pPr>
                    <w:spacing w:before="24"/>
                    <w:ind w:left="20" w:right="0" w:firstLine="0"/>
                    <w:jc w:val="left"/>
                    <w:rPr>
                      <w:sz w:val="16"/>
                    </w:rPr>
                  </w:pPr>
                  <w:r>
                    <w:rPr>
                      <w:color w:val="6D6E71"/>
                      <w:position w:val="2"/>
                      <w:sz w:val="16"/>
                    </w:rPr>
                    <w:t>This email </w:t>
                  </w:r>
                  <w:r>
                    <w:rPr>
                      <w:color w:val="6D6E71"/>
                      <w:position w:val="1"/>
                      <w:sz w:val="16"/>
                    </w:rPr>
                    <w:t>and any </w:t>
                  </w:r>
                  <w:r>
                    <w:rPr>
                      <w:color w:val="6D6E71"/>
                      <w:sz w:val="16"/>
                    </w:rPr>
                    <w:t>attachments </w:t>
                  </w:r>
                  <w:r>
                    <w:rPr>
                      <w:color w:val="6D6E71"/>
                      <w:position w:val="-1"/>
                      <w:sz w:val="16"/>
                    </w:rPr>
                    <w:t>may contain </w:t>
                  </w:r>
                  <w:r>
                    <w:rPr>
                      <w:color w:val="6D6E71"/>
                      <w:position w:val="-2"/>
                      <w:sz w:val="16"/>
                    </w:rPr>
                    <w:t>confidential </w:t>
                  </w:r>
                  <w:r>
                    <w:rPr>
                      <w:color w:val="6D6E71"/>
                      <w:position w:val="-4"/>
                      <w:sz w:val="16"/>
                    </w:rPr>
                    <w:t>material </w:t>
                  </w:r>
                  <w:r>
                    <w:rPr>
                      <w:color w:val="6D6E71"/>
                      <w:position w:val="-5"/>
                      <w:sz w:val="16"/>
                    </w:rPr>
                    <w:t>and is </w:t>
                  </w:r>
                  <w:r>
                    <w:rPr>
                      <w:color w:val="6D6E71"/>
                      <w:position w:val="-6"/>
                      <w:sz w:val="16"/>
                    </w:rPr>
                    <w:t>solely for </w:t>
                  </w:r>
                  <w:r>
                    <w:rPr>
                      <w:color w:val="6D6E71"/>
                      <w:position w:val="-7"/>
                      <w:sz w:val="16"/>
                    </w:rPr>
                    <w:t>the use </w:t>
                  </w:r>
                  <w:r>
                    <w:rPr>
                      <w:color w:val="6D6E71"/>
                      <w:position w:val="-8"/>
                      <w:sz w:val="16"/>
                    </w:rPr>
                    <w:t>of the </w:t>
                  </w:r>
                  <w:r>
                    <w:rPr>
                      <w:color w:val="6D6E71"/>
                      <w:position w:val="-9"/>
                      <w:sz w:val="16"/>
                    </w:rPr>
                    <w:t>recipient</w:t>
                  </w:r>
                </w:p>
              </w:txbxContent>
            </v:textbox>
            <w10:wrap type="topAndBottom"/>
          </v:shape>
        </w:pict>
      </w:r>
    </w:p>
    <w:p>
      <w:pPr>
        <w:spacing w:after="0"/>
        <w:rPr>
          <w:sz w:val="2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778304" filled="true" fillcolor="#3b957d" stroked="false">
            <v:fill type="solid"/>
            <w10:wrap type="none"/>
          </v:rect>
        </w:pict>
      </w:r>
      <w:r>
        <w:rPr/>
        <w:pict>
          <v:group style="position:absolute;margin-left:22.529499pt;margin-top:77.424316pt;width:524.25pt;height:747.15pt;mso-position-horizontal-relative:page;mso-position-vertical-relative:page;z-index:-17798144" coordorigin="451,1548" coordsize="10485,14943">
            <v:rect style="position:absolute;left:566;top:9211;width:10318;height:7280" filled="true" fillcolor="#231f20" stroked="false">
              <v:fill opacity="26214f" type="solid"/>
            </v:rect>
            <v:shape style="position:absolute;left:539;top:9184;width:10097;height:7058" coordorigin="539,9184" coordsize="10097,7058" path="m659,9184l539,16067,10516,16242,10636,9359,659,9184xe" filled="true" fillcolor="#ffffff" stroked="false">
              <v:path arrowok="t"/>
              <v:fill type="solid"/>
            </v:shape>
            <v:shape style="position:absolute;left:539;top:9184;width:10097;height:7058" coordorigin="539,9184" coordsize="10097,7058" path="m659,9184l539,16067,10516,16242,10636,9359,659,9184xe" filled="false" stroked="true" strokeweight=".25pt" strokecolor="#231f20">
              <v:path arrowok="t"/>
              <v:stroke dashstyle="solid"/>
            </v:shape>
            <v:rect style="position:absolute;left:487;top:1585;width:10448;height:8064" filled="true" fillcolor="#231f20" stroked="false">
              <v:fill opacity="26214f" type="solid"/>
            </v:rect>
            <v:shape style="position:absolute;left:453;top:1550;width:10234;height:7851" coordorigin="453,1551" coordsize="10234,7851" path="m10425,1551l453,1899,715,9402,10687,9054,10425,1551xe" filled="true" fillcolor="#ffffff" stroked="false">
              <v:path arrowok="t"/>
              <v:fill type="solid"/>
            </v:shape>
            <v:shape style="position:absolute;left:453;top:1550;width:10234;height:7851" coordorigin="453,1551" coordsize="10234,7851" path="m453,1899l715,9402,10687,9054,10425,1551,453,1899xe" filled="false" stroked="true" strokeweight=".25pt" strokecolor="#231f20">
              <v:path arrowok="t"/>
              <v:stroke dashstyle="solid"/>
            </v:shape>
            <v:line style="position:absolute" from="868,11837" to="10212,12000" stroked="true" strokeweight=".25pt" strokecolor="#231f20">
              <v:stroke dashstyle="solid"/>
            </v:line>
            <v:shape style="position:absolute;left:763;top:15420;width:5922;height:567" type="#_x0000_t75" stroked="false">
              <v:imagedata r:id="rId19" o:title=""/>
            </v:shape>
            <v:line style="position:absolute" from="800,4537" to="10140,4211" stroked="true" strokeweight=".25pt" strokecolor="#231f20">
              <v:stroke dashstyle="solid"/>
            </v:line>
            <v:shape style="position:absolute;left:903;top:8451;width:5927;height:670" type="#_x0000_t75" stroked="false">
              <v:imagedata r:id="rId20" o:title=""/>
            </v:shape>
            <w10:wrap type="none"/>
          </v:group>
        </w:pict>
      </w:r>
      <w:r>
        <w:rPr/>
        <w:pict>
          <v:shape style="position:absolute;margin-left:45.34753pt;margin-top:476.068634pt;width:77.6pt;height:11pt;mso-position-horizontal-relative:page;mso-position-vertical-relative:page;z-index:15779328;rotation:1" type="#_x0000_t136" fillcolor="#6d6e71" stroked="f">
            <o:extrusion v:ext="view" autorotationcenter="t"/>
            <v:textpath style="font-family:&quot;Avenir&quot;;font-size:11pt;v-text-kern:t;mso-text-shadow:auto;font-weight:bold" string="To: The Reader"/>
            <w10:wrap type="none"/>
          </v:shape>
        </w:pict>
      </w:r>
      <w:r>
        <w:rPr/>
        <w:pict>
          <v:shape style="position:absolute;margin-left:44.856628pt;margin-top:504.147125pt;width:67.25pt;height:11pt;mso-position-horizontal-relative:page;mso-position-vertical-relative:page;z-index:15779840;rotation:1" type="#_x0000_t136" fillcolor="#6d6e71" stroked="f">
            <o:extrusion v:ext="view" autorotationcenter="t"/>
            <v:textpath style="font-family:&quot;Avenir&quot;;font-size:11pt;v-text-kern:t;mso-text-shadow:auto;font-weight:bold" string="Cc: Ministers"/>
            <w10:wrap type="none"/>
          </v:shape>
        </w:pict>
      </w:r>
      <w:r>
        <w:rPr/>
        <w:pict>
          <v:shape style="position:absolute;margin-left:44.362541pt;margin-top:532.5896pt;width:98.6pt;height:11pt;mso-position-horizontal-relative:page;mso-position-vertical-relative:page;z-index:15780352;rotation:1" type="#_x0000_t136" fillcolor="#6d6e71" stroked="f">
            <o:extrusion v:ext="view" autorotationcenter="t"/>
            <v:textpath style="font-family:&quot;Avenir&quot;;font-size:11pt;v-text-kern:t;mso-text-shadow:auto;font-weight:bold" string="From: North Wales"/>
            <w10:wrap type="none"/>
          </v:shape>
        </w:pict>
      </w:r>
      <w:r>
        <w:rPr/>
        <w:pict>
          <v:shape style="position:absolute;margin-left:43.869568pt;margin-top:560.904419pt;width:115.3pt;height:11pt;mso-position-horizontal-relative:page;mso-position-vertical-relative:page;z-index:15780864;rotation:1" type="#_x0000_t136" fillcolor="#231f20" stroked="f">
            <o:extrusion v:ext="view" autorotationcenter="t"/>
            <v:textpath style="font-family:&quot;Avenir&quot;;font-size:11pt;v-text-kern:t;mso-text-shadow:auto;font-weight:bold" string="Subject: Collaboration"/>
            <w10:wrap type="none"/>
          </v:shape>
        </w:pict>
      </w:r>
      <w:r>
        <w:rPr/>
        <w:pict>
          <v:shape style="position:absolute;margin-left:42.859882pt;margin-top:620.25415pt;width:460.4pt;height:11pt;mso-position-horizontal-relative:page;mso-position-vertical-relative:page;z-index:15781376;rotation:1" type="#_x0000_t136" fillcolor="#231f20" stroked="f">
            <o:extrusion v:ext="view" autorotationcenter="t"/>
            <v:textpath style="font-family:&quot;Avenir-Book&quot;;font-size:11pt;v-text-kern:t;mso-text-shadow:auto" string="We have worked with the Lead Coroner to consider some of the significant themes from Child"/>
            <w10:wrap type="none"/>
          </v:shape>
        </w:pict>
      </w:r>
      <w:r>
        <w:rPr/>
        <w:pict>
          <v:shape style="position:absolute;margin-left:42.616962pt;margin-top:634.093933pt;width:442.3pt;height:11pt;mso-position-horizontal-relative:page;mso-position-vertical-relative:page;z-index:15781888;rotation:1" type="#_x0000_t136" fillcolor="#231f20" stroked="f">
            <o:extrusion v:ext="view" autorotationcenter="t"/>
            <v:textpath style="font-family:&quot;Avenir-Book&quot;;font-size:11pt;v-text-kern:t;mso-text-shadow:auto" string="and Adult Practice Reviews. This confirmed our sense of the increasing numbers of people"/>
            <w10:wrap type="none"/>
          </v:shape>
        </w:pict>
      </w:r>
      <w:r>
        <w:rPr/>
        <w:pict>
          <v:shape style="position:absolute;margin-left:42.370865pt;margin-top:648.297913pt;width:465.9pt;height:11pt;mso-position-horizontal-relative:page;mso-position-vertical-relative:page;z-index:15782400;rotation:1" type="#_x0000_t136" fillcolor="#231f20" stroked="f">
            <o:extrusion v:ext="view" autorotationcenter="t"/>
            <v:textpath style="font-family:&quot;Avenir-Book&quot;;font-size:11pt;v-text-kern:t;mso-text-shadow:auto" string="who “self-neglect” in North Wales. We have engaged with the Police and Crime Commissioner"/>
            <w10:wrap type="none"/>
          </v:shape>
        </w:pict>
      </w:r>
      <w:r>
        <w:rPr/>
        <w:pict>
          <v:shape style="position:absolute;margin-left:42.127056pt;margin-top:662.227966pt;width:458.15pt;height:11pt;mso-position-horizontal-relative:page;mso-position-vertical-relative:page;z-index:15782912;rotation:1" type="#_x0000_t136" fillcolor="#231f20" stroked="f">
            <o:extrusion v:ext="view" autorotationcenter="t"/>
            <v:textpath style="font-family:&quot;Avenir-Book&quot;;font-size:11pt;v-text-kern:t;mso-text-shadow:auto" string="and his deputy to consider the alignment of our priorities; and with the National Independent"/>
            <w10:wrap type="none"/>
          </v:shape>
        </w:pict>
      </w:r>
      <w:r>
        <w:rPr/>
        <w:pict>
          <v:shape style="position:absolute;margin-left:41.881954pt;margin-top:676.317749pt;width:468.7pt;height:11pt;mso-position-horizontal-relative:page;mso-position-vertical-relative:page;z-index:15783424;rotation:1" type="#_x0000_t136" fillcolor="#231f20" stroked="f">
            <o:extrusion v:ext="view" autorotationcenter="t"/>
            <v:textpath style="font-family:&quot;Avenir-Book&quot;;font-size:11pt;v-text-kern:t;mso-text-shadow:auto" string="Safeguarding Board. Its commissioned research around home educated children was welcomed"/>
            <w10:wrap type="none"/>
          </v:shape>
        </w:pict>
      </w:r>
      <w:r>
        <w:rPr/>
        <w:pict>
          <v:shape style="position:absolute;margin-left:41.639523pt;margin-top:690.10144pt;width:444.15pt;height:11pt;mso-position-horizontal-relative:page;mso-position-vertical-relative:page;z-index:15783936;rotation:1" type="#_x0000_t136" fillcolor="#231f20" stroked="f">
            <o:extrusion v:ext="view" autorotationcenter="t"/>
            <v:textpath style="font-family:&quot;Avenir-Book&quot;;font-size:11pt;v-text-kern:t;mso-text-shadow:auto" string="given the increase in the numbers of home educated children here. We shared our training"/>
            <w10:wrap type="none"/>
          </v:shape>
        </w:pict>
      </w:r>
      <w:r>
        <w:rPr/>
        <w:pict>
          <v:shape style="position:absolute;margin-left:41.393745pt;margin-top:704.257385pt;width:462.25pt;height:11pt;mso-position-horizontal-relative:page;mso-position-vertical-relative:page;z-index:15784448;rotation:1" type="#_x0000_t136" fillcolor="#231f20" stroked="f">
            <o:extrusion v:ext="view" autorotationcenter="t"/>
            <v:textpath style="font-family:&quot;Avenir-Book&quot;;font-size:11pt;v-text-kern:t;mso-text-shadow:auto" string="needs analysis with Social Care Wales (SCW) with a view to developing a safeguarding training"/>
            <w10:wrap type="none"/>
          </v:shape>
        </w:pict>
      </w:r>
      <w:r>
        <w:rPr/>
        <w:pict>
          <v:shape style="position:absolute;margin-left:41.150253pt;margin-top:718.162292pt;width:451.6pt;height:11pt;mso-position-horizontal-relative:page;mso-position-vertical-relative:page;z-index:15784960;rotation:1" type="#_x0000_t136" fillcolor="#231f20" stroked="f">
            <o:extrusion v:ext="view" autorotationcenter="t"/>
            <v:textpath style="font-family:&quot;Avenir-Book&quot;;font-size:11pt;v-text-kern:t;mso-text-shadow:auto" string="framework; and we have worked with Cheshire West’s safeguarding practitioners to consider"/>
            <w10:wrap type="none"/>
          </v:shape>
        </w:pict>
      </w:r>
      <w:r>
        <w:rPr/>
        <w:pict>
          <v:shape style="position:absolute;margin-left:40.928787pt;margin-top:729.543701pt;width:151.8pt;height:11pt;mso-position-horizontal-relative:page;mso-position-vertical-relative:page;z-index:15785472;rotation:1" type="#_x0000_t136" fillcolor="#231f20" stroked="f">
            <o:extrusion v:ext="view" autorotationcenter="t"/>
            <v:textpath style="font-family:&quot;Avenir-Book&quot;;font-size:11pt;v-text-kern:t;mso-text-shadow:auto" string="cross boundary practice issues."/>
            <w10:wrap type="none"/>
          </v:shape>
        </w:pict>
      </w:r>
      <w:r>
        <w:rPr/>
        <w:pict>
          <v:shape style="position:absolute;margin-left:573.765198pt;margin-top:182.052719pt;width:15.7pt;height:477.8pt;mso-position-horizontal-relative:page;mso-position-vertical-relative:page;z-index:15785984"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pict>
          <v:shape style="position:absolute;margin-left:38.075115pt;margin-top:164.319412pt;width:140.15pt;height:11pt;mso-position-horizontal-relative:page;mso-position-vertical-relative:page;z-index:15787520;rotation:358" type="#_x0000_t136" fillcolor="#6d6e71" stroked="f">
            <o:extrusion v:ext="view" autorotationcenter="t"/>
            <v:textpath style="font-family:&quot;Avenir&quot;;font-size:11pt;v-text-kern:t;mso-text-shadow:auto;font-weight:bold" string="From: Mid and West Wales"/>
            <w10:wrap type="none"/>
          </v:shape>
        </w:pict>
      </w:r>
      <w:r>
        <w:rPr/>
        <w:pict>
          <v:shape style="position:absolute;margin-left:39.065887pt;margin-top:192.909302pt;width:115.3pt;height:11pt;mso-position-horizontal-relative:page;mso-position-vertical-relative:page;z-index:15788032;rotation:358" type="#_x0000_t136" fillcolor="#231f20" stroked="f">
            <o:extrusion v:ext="view" autorotationcenter="t"/>
            <v:textpath style="font-family:&quot;Avenir&quot;;font-size:11pt;v-text-kern:t;mso-text-shadow:auto;font-weight:bold" string="Subject: Collaboration"/>
            <w10:wrap type="none"/>
          </v:shape>
        </w:pict>
      </w:r>
      <w:r>
        <w:rPr/>
        <w:pict>
          <v:shape style="position:absolute;margin-left:40.93895pt;margin-top:243.868332pt;width:422.05pt;height:11pt;mso-position-horizontal-relative:page;mso-position-vertical-relative:page;z-index:15788544;rotation:358" type="#_x0000_t136" fillcolor="#231f20" stroked="f">
            <o:extrusion v:ext="view" autorotationcenter="t"/>
            <v:textpath style="font-family:&quot;Avenir-Book&quot;;font-size:11pt;v-text-kern:t;mso-text-shadow:auto" string="We work closely with the Welsh Government - discussing our work and supporting the"/>
            <w10:wrap type="none"/>
          </v:shape>
        </w:pict>
      </w:r>
      <w:r>
        <w:rPr/>
        <w:pict>
          <v:shape style="position:absolute;margin-left:41.4249pt;margin-top:257.713776pt;width:430.45pt;height:11pt;mso-position-horizontal-relative:page;mso-position-vertical-relative:page;z-index:15789056;rotation:358" type="#_x0000_t136" fillcolor="#231f20" stroked="f">
            <o:extrusion v:ext="view" autorotationcenter="t"/>
            <v:textpath style="font-family:&quot;Avenir-Book&quot;;font-size:11pt;v-text-kern:t;mso-text-shadow:auto" string="development of National Protection Procedures. Also, we are working with the Regional"/>
            <w10:wrap type="none"/>
          </v:shape>
        </w:pict>
      </w:r>
      <w:r>
        <w:rPr/>
        <w:pict>
          <v:shape style="position:absolute;margin-left:41.906433pt;margin-top:271.300262pt;width:453.65pt;height:11pt;mso-position-horizontal-relative:page;mso-position-vertical-relative:page;z-index:15789568;rotation:358" type="#_x0000_t136" fillcolor="#231f20" stroked="f">
            <o:extrusion v:ext="view" autorotationcenter="t"/>
            <v:textpath style="font-family:&quot;Avenir-Book&quot;;font-size:11pt;v-text-kern:t;mso-text-shadow:auto" string="West Wales Partnership Board, with which the Regional Boards share annual plans to identify"/>
            <w10:wrap type="none"/>
          </v:shape>
        </w:pict>
      </w:r>
      <w:r>
        <w:rPr/>
        <w:pict>
          <v:shape style="position:absolute;margin-left:42.393997pt;margin-top:285.232483pt;width:457.05pt;height:11pt;mso-position-horizontal-relative:page;mso-position-vertical-relative:page;z-index:15790080;rotation:358" type="#_x0000_t136" fillcolor="#231f20" stroked="f">
            <o:extrusion v:ext="view" autorotationcenter="t"/>
            <v:textpath style="font-family:&quot;Avenir-Book&quot;;font-size:11pt;v-text-kern:t;mso-text-shadow:auto" string="opportunities for potential collaboration. We are also working with Social Care Wales which is"/>
            <w10:wrap type="none"/>
          </v:shape>
        </w:pict>
      </w:r>
      <w:r>
        <w:rPr/>
        <w:pict>
          <v:shape style="position:absolute;margin-left:42.880531pt;margin-top:299.105621pt;width:463.85pt;height:11pt;mso-position-horizontal-relative:page;mso-position-vertical-relative:page;z-index:15790592;rotation:358" type="#_x0000_t136" fillcolor="#231f20" stroked="f">
            <o:extrusion v:ext="view" autorotationcenter="t"/>
            <v:textpath style="font-family:&quot;Avenir-Book&quot;;font-size:11pt;v-text-kern:t;mso-text-shadow:auto" string="reviewing arrangements for the delivery of safeguarding training; with Care Inspectorate Wales"/>
            <w10:wrap type="none"/>
          </v:shape>
        </w:pict>
      </w:r>
      <w:r>
        <w:rPr/>
        <w:pict>
          <v:shape style="position:absolute;margin-left:43.371639pt;margin-top:313.240662pt;width:455.6pt;height:11pt;mso-position-horizontal-relative:page;mso-position-vertical-relative:page;z-index:15791104;rotation:358" type="#_x0000_t136" fillcolor="#231f20" stroked="f">
            <o:extrusion v:ext="view" autorotationcenter="t"/>
            <v:textpath style="font-family:&quot;Avenir-Book&quot;;font-size:11pt;v-text-kern:t;mso-text-shadow:auto" string="in its review of adult safeguarding practice; the Independent Inquiry into Child Sexual Abuse;"/>
            <w10:wrap type="none"/>
          </v:shape>
        </w:pict>
      </w:r>
      <w:r>
        <w:rPr/>
        <w:pict>
          <v:shape style="position:absolute;margin-left:43.858658pt;margin-top:327.141571pt;width:460.8pt;height:11pt;mso-position-horizontal-relative:page;mso-position-vertical-relative:page;z-index:15791616;rotation:358" type="#_x0000_t136" fillcolor="#231f20" stroked="f">
            <o:extrusion v:ext="view" autorotationcenter="t"/>
            <v:textpath style="font-family:&quot;Avenir-Book&quot;;font-size:11pt;v-text-kern:t;mso-text-shadow:auto" string="the Regional West Wales Partnership Board; and the Community Safety Partnerships. They are"/>
            <w10:wrap type="none"/>
          </v:shape>
        </w:pict>
      </w:r>
      <w:r>
        <w:rPr/>
        <w:pict>
          <v:shape style="position:absolute;margin-left:44.345085pt;margin-top:341.008606pt;width:467.9pt;height:11pt;mso-position-horizontal-relative:page;mso-position-vertical-relative:page;z-index:15792128;rotation:358" type="#_x0000_t136" fillcolor="#231f20" stroked="f">
            <o:extrusion v:ext="view" autorotationcenter="t"/>
            <v:textpath style="font-family:&quot;Avenir-Book&quot;;font-size:11pt;v-text-kern:t;mso-text-shadow:auto" string="considering how the interface between the practice review process and the Domestic Homicide"/>
            <w10:wrap type="none"/>
          </v:shape>
        </w:pict>
      </w:r>
      <w:r>
        <w:rPr/>
        <w:pict>
          <v:shape style="position:absolute;margin-left:44.833065pt;margin-top:354.9646pt;width:469.95pt;height:11pt;mso-position-horizontal-relative:page;mso-position-vertical-relative:page;z-index:15792640;rotation:358" type="#_x0000_t136" fillcolor="#231f20" stroked="f">
            <o:extrusion v:ext="view" autorotationcenter="t"/>
            <v:textpath style="font-family:&quot;Avenir-Book&quot;;font-size:11pt;v-text-kern:t;mso-text-shadow:auto" string="Review Process could be more aligned. Also we are working with the Gwella project to establish"/>
            <w10:wrap type="none"/>
          </v:shape>
        </w:pict>
      </w:r>
      <w:r>
        <w:rPr/>
        <w:pict>
          <v:shape style="position:absolute;margin-left:45.329315pt;margin-top:369.394318pt;width:444.85pt;height:11pt;mso-position-horizontal-relative:page;mso-position-vertical-relative:page;z-index:15793152;rotation:358" type="#_x0000_t136" fillcolor="#231f20" stroked="f">
            <o:extrusion v:ext="view" autorotationcenter="t"/>
            <v:textpath style="font-family:&quot;Avenir-Book&quot;;font-size:11pt;v-text-kern:t;mso-text-shadow:auto" string="a “trauma informed system around the child” most particularly in relation to “looked after”"/>
            <w10:wrap type="none"/>
          </v:shape>
        </w:pict>
      </w:r>
      <w:r>
        <w:rPr/>
        <w:pict>
          <v:shape style="position:absolute;margin-left:45.912128pt;margin-top:388.783386pt;width:135.5pt;height:11pt;mso-position-horizontal-relative:page;mso-position-vertical-relative:page;z-index:15793664;rotation:358" type="#_x0000_t136" fillcolor="#231f20" stroked="f">
            <o:extrusion v:ext="view" autorotationcenter="t"/>
            <v:textpath style="font-family:&quot;Avenir-Book&quot;;font-size:11pt;v-text-kern:t;mso-text-shadow:auto" string="children and young people."/>
            <w10:wrap type="none"/>
          </v:shape>
        </w:pict>
      </w:r>
      <w:r>
        <w:rPr/>
        <w:pict>
          <v:shape style="position:absolute;margin-left:46.855537pt;margin-top:415.20871pt;width:375.15pt;height:8pt;mso-position-horizontal-relative:page;mso-position-vertical-relative:page;z-index:15794176;rotation:358" type="#_x0000_t136" fillcolor="#6d6e71" stroked="f">
            <o:extrusion v:ext="view" autorotationcenter="t"/>
            <v:textpath style="font-family:&quot;Avenir-Book&quot;;font-size:8pt;v-text-kern:t;mso-text-shadow:auto" string="This email and any attachments may contain confidential material and is solely for the use of the recipient"/>
            <w10:wrap type="none"/>
          </v:shape>
        </w:pict>
      </w:r>
    </w:p>
    <w:p>
      <w:pPr>
        <w:pStyle w:val="BodyText"/>
        <w:spacing w:before="6"/>
      </w:pPr>
    </w:p>
    <w:p>
      <w:pPr>
        <w:tabs>
          <w:tab w:pos="10338" w:val="right" w:leader="none"/>
        </w:tabs>
        <w:spacing w:before="100"/>
        <w:ind w:left="360" w:right="0" w:firstLine="0"/>
        <w:jc w:val="left"/>
        <w:rPr>
          <w:sz w:val="16"/>
        </w:rPr>
      </w:pPr>
      <w:r>
        <w:rPr/>
        <w:pict>
          <v:shape style="position:absolute;margin-left:36.127666pt;margin-top:80.082924pt;width:77.6pt;height:11pt;mso-position-horizontal-relative:page;mso-position-vertical-relative:paragraph;z-index:15786496;rotation:358" type="#_x0000_t136" fillcolor="#6d6e71" stroked="f">
            <o:extrusion v:ext="view" autorotationcenter="t"/>
            <v:textpath style="font-family:&quot;Avenir&quot;;font-size:11pt;v-text-kern:t;mso-text-shadow:auto;font-weight:bold" string="To: The Reader"/>
            <w10:wrap type="none"/>
          </v:shape>
        </w:pict>
      </w:r>
      <w:r>
        <w:rPr/>
        <w:pict>
          <v:shape style="position:absolute;margin-left:37.114025pt;margin-top:108.419838pt;width:67.25pt;height:11pt;mso-position-horizontal-relative:page;mso-position-vertical-relative:paragraph;z-index:15787008;rotation:358" type="#_x0000_t136" fillcolor="#6d6e71" stroked="f">
            <o:extrusion v:ext="view" autorotationcenter="t"/>
            <v:textpath style="font-family:&quot;Avenir&quot;;font-size:11pt;v-text-kern:t;mso-text-shadow:auto;font-weight:bold" string="Cc: Ministers"/>
            <w10:wrap type="none"/>
          </v:shape>
        </w:pict>
      </w:r>
      <w:r>
        <w:rPr>
          <w:color w:val="231F20"/>
          <w:sz w:val="16"/>
        </w:rPr>
        <w:t>Annual Report 2017-18</w:t>
        <w:tab/>
        <w:t>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r>
        <w:rPr/>
        <w:pict>
          <v:shape style="position:absolute;margin-left:39.336708pt;margin-top:9.5108pt;width:377.25pt;height:19.5pt;mso-position-horizontal-relative:page;mso-position-vertical-relative:paragraph;z-index:-15679488;mso-wrap-distance-left:0;mso-wrap-distance-right:0" type="#_x0000_t202" filled="false" stroked="false">
            <v:textbox inset="0,0,0,0">
              <w:txbxContent>
                <w:p>
                  <w:pPr>
                    <w:spacing w:before="24"/>
                    <w:ind w:left="20" w:right="0" w:firstLine="0"/>
                    <w:jc w:val="left"/>
                    <w:rPr>
                      <w:sz w:val="16"/>
                    </w:rPr>
                  </w:pPr>
                  <w:r>
                    <w:rPr>
                      <w:color w:val="6D6E71"/>
                      <w:position w:val="2"/>
                      <w:sz w:val="16"/>
                    </w:rPr>
                    <w:t>This email </w:t>
                  </w:r>
                  <w:r>
                    <w:rPr>
                      <w:color w:val="6D6E71"/>
                      <w:position w:val="1"/>
                      <w:sz w:val="16"/>
                    </w:rPr>
                    <w:t>and any </w:t>
                  </w:r>
                  <w:r>
                    <w:rPr>
                      <w:color w:val="6D6E71"/>
                      <w:sz w:val="16"/>
                    </w:rPr>
                    <w:t>attachments </w:t>
                  </w:r>
                  <w:r>
                    <w:rPr>
                      <w:color w:val="6D6E71"/>
                      <w:position w:val="-1"/>
                      <w:sz w:val="16"/>
                    </w:rPr>
                    <w:t>may contain </w:t>
                  </w:r>
                  <w:r>
                    <w:rPr>
                      <w:color w:val="6D6E71"/>
                      <w:position w:val="-2"/>
                      <w:sz w:val="16"/>
                    </w:rPr>
                    <w:t>confidential </w:t>
                  </w:r>
                  <w:r>
                    <w:rPr>
                      <w:color w:val="6D6E71"/>
                      <w:position w:val="-4"/>
                      <w:sz w:val="16"/>
                    </w:rPr>
                    <w:t>material </w:t>
                  </w:r>
                  <w:r>
                    <w:rPr>
                      <w:color w:val="6D6E71"/>
                      <w:position w:val="-5"/>
                      <w:sz w:val="16"/>
                    </w:rPr>
                    <w:t>and is </w:t>
                  </w:r>
                  <w:r>
                    <w:rPr>
                      <w:color w:val="6D6E71"/>
                      <w:position w:val="-6"/>
                      <w:sz w:val="16"/>
                    </w:rPr>
                    <w:t>solely for </w:t>
                  </w:r>
                  <w:r>
                    <w:rPr>
                      <w:color w:val="6D6E71"/>
                      <w:position w:val="-7"/>
                      <w:sz w:val="16"/>
                    </w:rPr>
                    <w:t>the use </w:t>
                  </w:r>
                  <w:r>
                    <w:rPr>
                      <w:color w:val="6D6E71"/>
                      <w:position w:val="-8"/>
                      <w:sz w:val="16"/>
                    </w:rPr>
                    <w:t>of the </w:t>
                  </w:r>
                  <w:r>
                    <w:rPr>
                      <w:color w:val="6D6E71"/>
                      <w:position w:val="-9"/>
                      <w:sz w:val="16"/>
                    </w:rPr>
                    <w:t>recipient</w:t>
                  </w:r>
                </w:p>
              </w:txbxContent>
            </v:textbox>
            <w10:wrap type="topAndBottom"/>
          </v:shape>
        </w:pict>
      </w:r>
    </w:p>
    <w:p>
      <w:pPr>
        <w:spacing w:after="0"/>
        <w:rPr>
          <w:sz w:val="12"/>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81760" filled="true" fillcolor="#3b957d" stroked="false">
            <v:fill type="solid"/>
            <w10:wrap type="none"/>
          </v:rect>
        </w:pict>
      </w:r>
      <w:r>
        <w:rPr/>
        <w:pict>
          <v:shape style="position:absolute;margin-left:72.387634pt;margin-top:154.170181pt;width:100pt;height:11pt;mso-position-horizontal-relative:page;mso-position-vertical-relative:page;z-index:15797248;rotation:1" type="#_x0000_t136" fillcolor="#6d6e71" stroked="f">
            <o:extrusion v:ext="view" autorotationcenter="t"/>
            <v:textpath style="font-family:&quot;Avenir&quot;;font-size:11pt;v-text-kern:t;mso-text-shadow:auto;font-weight:bold" string="From: Western Bay"/>
            <w10:wrap type="none"/>
          </v:shape>
        </w:pict>
      </w:r>
      <w:r>
        <w:rPr/>
        <w:pict>
          <v:shape style="position:absolute;margin-left:71.894768pt;margin-top:182.472641pt;width:115.3pt;height:11pt;mso-position-horizontal-relative:page;mso-position-vertical-relative:page;z-index:15797760;rotation:1" type="#_x0000_t136" fillcolor="#231f20" stroked="f">
            <o:extrusion v:ext="view" autorotationcenter="t"/>
            <v:textpath style="font-family:&quot;Avenir&quot;;font-size:11pt;v-text-kern:t;mso-text-shadow:auto;font-weight:bold" string="Subject: Collaboration"/>
            <w10:wrap type="none"/>
          </v:shape>
        </w:pict>
      </w:r>
      <w:r>
        <w:rPr/>
        <w:pict>
          <v:shape style="position:absolute;margin-left:70.886154pt;margin-top:241.699249pt;width:446.3pt;height:11pt;mso-position-horizontal-relative:page;mso-position-vertical-relative:page;z-index:15798272;rotation:1" type="#_x0000_t136" fillcolor="#231f20" stroked="f">
            <o:extrusion v:ext="view" autorotationcenter="t"/>
            <v:textpath style="font-family:&quot;Avenir-Book&quot;;font-size:11pt;v-text-kern:t;mso-text-shadow:auto" string="We have large networks of organisations and partnerships and structures to work alongside"/>
            <w10:wrap type="none"/>
          </v:shape>
        </w:pict>
      </w:r>
      <w:r>
        <w:rPr/>
        <w:pict>
          <v:shape style="position:absolute;margin-left:70.642265pt;margin-top:255.650391pt;width:440.95pt;height:11pt;mso-position-horizontal-relative:page;mso-position-vertical-relative:page;z-index:15798784;rotation:1" type="#_x0000_t136" fillcolor="#231f20" stroked="f">
            <o:extrusion v:ext="view" autorotationcenter="t"/>
            <v:textpath style="font-family:&quot;Avenir-Book&quot;;font-size:11pt;v-text-kern:t;mso-text-shadow:auto" string="the National Independent Safeguarding Board and Welsh Government. We have adopted"/>
            <w10:wrap type="none"/>
          </v:shape>
        </w:pict>
      </w:r>
      <w:r>
        <w:rPr/>
        <w:pict>
          <v:shape style="position:absolute;margin-left:70.397499pt;margin-top:269.701294pt;width:447.05pt;height:11pt;mso-position-horizontal-relative:page;mso-position-vertical-relative:page;z-index:15799296;rotation:1" type="#_x0000_t136" fillcolor="#231f20" stroked="f">
            <o:extrusion v:ext="view" autorotationcenter="t"/>
            <v:textpath style="font-family:&quot;Avenir-Book&quot;;font-size:11pt;v-text-kern:t;mso-text-shadow:auto" string="a partnership reporting framework which enables all partners to alert the Boards to relevant"/>
            <w10:wrap type="none"/>
          </v:shape>
        </w:pict>
      </w:r>
      <w:r>
        <w:rPr/>
        <w:pict>
          <v:shape style="position:absolute;margin-left:70.151131pt;margin-top:283.925293pt;width:472.95pt;height:11pt;mso-position-horizontal-relative:page;mso-position-vertical-relative:page;z-index:15799808;rotation:1" type="#_x0000_t136" fillcolor="#231f20" stroked="f">
            <o:extrusion v:ext="view" autorotationcenter="t"/>
            <v:textpath style="font-family:&quot;Avenir-Book&quot;;font-size:11pt;v-text-kern:t;mso-text-shadow:auto" string="matters. In turn this limits duplication, engages with all partners’ priorities and shapes our annual"/>
            <w10:wrap type="none"/>
          </v:shape>
        </w:pict>
      </w:r>
      <w:r>
        <w:rPr/>
        <w:pict>
          <v:shape style="position:absolute;margin-left:69.937248pt;margin-top:294.437805pt;width:73.6pt;height:11pt;mso-position-horizontal-relative:page;mso-position-vertical-relative:page;z-index:15800320;rotation:1" type="#_x0000_t136" fillcolor="#231f20" stroked="f">
            <o:extrusion v:ext="view" autorotationcenter="t"/>
            <v:textpath style="font-family:&quot;Avenir-Book&quot;;font-size:11pt;v-text-kern:t;mso-text-shadow:auto" string="planning cycle."/>
            <w10:wrap type="none"/>
          </v:shape>
        </w:pict>
      </w:r>
    </w:p>
    <w:p>
      <w:pPr>
        <w:pStyle w:val="BodyText"/>
        <w:spacing w:before="6"/>
      </w:pPr>
    </w:p>
    <w:p>
      <w:pPr>
        <w:tabs>
          <w:tab w:pos="7398" w:val="left" w:leader="none"/>
        </w:tabs>
        <w:spacing w:before="100"/>
        <w:ind w:left="927" w:right="0" w:firstLine="0"/>
        <w:jc w:val="left"/>
        <w:rPr>
          <w:sz w:val="16"/>
        </w:rPr>
      </w:pPr>
      <w:r>
        <w:rPr/>
        <w:pict>
          <v:group style="position:absolute;margin-left:55.713001pt;margin-top:51.648422pt;width:516.7pt;height:316.9pt;mso-position-horizontal-relative:page;mso-position-vertical-relative:paragraph;z-index:15795712" coordorigin="1114,1033" coordsize="10334,6338">
            <v:rect style="position:absolute;left:1144;top:1062;width:10304;height:6308" filled="true" fillcolor="#231f20" stroked="false">
              <v:fill opacity="26214f" type="solid"/>
            </v:rect>
            <v:shape style="position:absolute;left:1116;top:1035;width:10080;height:6088" coordorigin="1117,1035" coordsize="10080,6088" path="m1220,1035l1117,6949,11093,7123,11196,1210,1220,1035xe" filled="true" fillcolor="#ffffff" stroked="false">
              <v:path arrowok="t"/>
              <v:fill type="solid"/>
            </v:shape>
            <v:shape style="position:absolute;left:1116;top:1035;width:10080;height:6088" coordorigin="1117,1035" coordsize="10080,6088" path="m1220,1035l1117,6949,11093,7123,11196,1210,1220,1035xe" filled="false" stroked="true" strokeweight=".25pt" strokecolor="#231f20">
              <v:path arrowok="t"/>
              <v:stroke dashstyle="solid"/>
            </v:shape>
            <v:line style="position:absolute" from="1429,3688" to="10772,3851" stroked="true" strokeweight=".25pt" strokecolor="#231f20">
              <v:stroke dashstyle="solid"/>
            </v:line>
            <v:shape style="position:absolute;left:1321;top:6206;width:5922;height:567" type="#_x0000_t75" stroked="false">
              <v:imagedata r:id="rId19" o:title=""/>
            </v:shape>
            <v:shape style="position:absolute;left:1366;top:5858;width:7545;height:390" type="#_x0000_t202" filled="false" stroked="false">
              <v:textbox inset="0,0,0,0">
                <w:txbxContent>
                  <w:p>
                    <w:pPr>
                      <w:spacing w:before="24"/>
                      <w:ind w:left="20" w:right="0" w:firstLine="0"/>
                      <w:jc w:val="left"/>
                      <w:rPr>
                        <w:sz w:val="16"/>
                      </w:rPr>
                    </w:pPr>
                    <w:r>
                      <w:rPr>
                        <w:color w:val="6D6E71"/>
                        <w:position w:val="2"/>
                        <w:sz w:val="16"/>
                      </w:rPr>
                      <w:t>This email </w:t>
                    </w:r>
                    <w:r>
                      <w:rPr>
                        <w:color w:val="6D6E71"/>
                        <w:position w:val="1"/>
                        <w:sz w:val="16"/>
                      </w:rPr>
                      <w:t>and any </w:t>
                    </w:r>
                    <w:r>
                      <w:rPr>
                        <w:color w:val="6D6E71"/>
                        <w:sz w:val="16"/>
                      </w:rPr>
                      <w:t>attachments </w:t>
                    </w:r>
                    <w:r>
                      <w:rPr>
                        <w:color w:val="6D6E71"/>
                        <w:position w:val="-1"/>
                        <w:sz w:val="16"/>
                      </w:rPr>
                      <w:t>may contain </w:t>
                    </w:r>
                    <w:r>
                      <w:rPr>
                        <w:color w:val="6D6E71"/>
                        <w:position w:val="-2"/>
                        <w:sz w:val="16"/>
                      </w:rPr>
                      <w:t>confidential </w:t>
                    </w:r>
                    <w:r>
                      <w:rPr>
                        <w:color w:val="6D6E71"/>
                        <w:position w:val="-4"/>
                        <w:sz w:val="16"/>
                      </w:rPr>
                      <w:t>material </w:t>
                    </w:r>
                    <w:r>
                      <w:rPr>
                        <w:color w:val="6D6E71"/>
                        <w:position w:val="-5"/>
                        <w:sz w:val="16"/>
                      </w:rPr>
                      <w:t>and is </w:t>
                    </w:r>
                    <w:r>
                      <w:rPr>
                        <w:color w:val="6D6E71"/>
                        <w:position w:val="-6"/>
                        <w:sz w:val="16"/>
                      </w:rPr>
                      <w:t>solely for </w:t>
                    </w:r>
                    <w:r>
                      <w:rPr>
                        <w:color w:val="6D6E71"/>
                        <w:position w:val="-7"/>
                        <w:sz w:val="16"/>
                      </w:rPr>
                      <w:t>the use </w:t>
                    </w:r>
                    <w:r>
                      <w:rPr>
                        <w:color w:val="6D6E71"/>
                        <w:position w:val="-8"/>
                        <w:sz w:val="16"/>
                      </w:rPr>
                      <w:t>of the </w:t>
                    </w:r>
                    <w:r>
                      <w:rPr>
                        <w:color w:val="6D6E71"/>
                        <w:position w:val="-9"/>
                        <w:sz w:val="16"/>
                      </w:rPr>
                      <w:t>recipient</w:t>
                    </w:r>
                  </w:p>
                </w:txbxContent>
              </v:textbox>
              <w10:wrap type="none"/>
            </v:shape>
            <w10:wrap type="none"/>
          </v:group>
        </w:pict>
      </w:r>
      <w:r>
        <w:rPr/>
        <w:pict>
          <v:shape style="position:absolute;margin-left:73.372734pt;margin-top:68.62085pt;width:77.6pt;height:11pt;mso-position-horizontal-relative:page;mso-position-vertical-relative:paragraph;z-index:15796224;rotation:1" type="#_x0000_t136" fillcolor="#6d6e71" stroked="f">
            <o:extrusion v:ext="view" autorotationcenter="t"/>
            <v:textpath style="font-family:&quot;Avenir&quot;;font-size:11pt;v-text-kern:t;mso-text-shadow:auto;font-weight:bold" string="To: The Reader"/>
            <w10:wrap type="none"/>
          </v:shape>
        </w:pict>
      </w:r>
      <w:r>
        <w:rPr/>
        <w:pict>
          <v:shape style="position:absolute;margin-left:72.881828pt;margin-top:96.699318pt;width:67.25pt;height:11pt;mso-position-horizontal-relative:page;mso-position-vertical-relative:paragraph;z-index:15796736;rotation:1" type="#_x0000_t136" fillcolor="#6d6e71" stroked="f">
            <o:extrusion v:ext="view" autorotationcenter="t"/>
            <v:textpath style="font-family:&quot;Avenir&quot;;font-size:11pt;v-text-kern:t;mso-text-shadow:auto;font-weight:bold" string="Cc: Ministers"/>
            <w10:wrap type="none"/>
          </v:shape>
        </w:pict>
      </w:r>
      <w:r>
        <w:rPr>
          <w:color w:val="231F20"/>
          <w:sz w:val="16"/>
        </w:rPr>
        <w:t>22</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11" w:lineRule="auto" w:before="280"/>
        <w:ind w:left="928"/>
      </w:pPr>
      <w:r>
        <w:rPr/>
        <w:pict>
          <v:shape style="position:absolute;margin-left:7.0315pt;margin-top:-286.5802pt;width:15.7pt;height:477.8pt;mso-position-horizontal-relative:page;mso-position-vertical-relative:paragraph;z-index:-17776128"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color w:val="3B957D"/>
        </w:rPr>
        <w:t>Requests the Regional Safeguarding Boards have made under S.137(1) for specified information</w:t>
      </w:r>
    </w:p>
    <w:p>
      <w:pPr>
        <w:pStyle w:val="BodyText"/>
        <w:spacing w:line="230" w:lineRule="auto" w:before="236"/>
        <w:ind w:left="928" w:right="445"/>
      </w:pPr>
      <w:r>
        <w:rPr>
          <w:color w:val="231F20"/>
        </w:rPr>
        <w:t>Only Mid and West Wales made a S.137 (1) request “to a care provider to release information to assist the completion of an Adult Practice Review.” The request produced the information.</w:t>
      </w:r>
    </w:p>
    <w:p>
      <w:pPr>
        <w:pStyle w:val="BodyText"/>
        <w:rPr>
          <w:sz w:val="20"/>
        </w:rPr>
      </w:pPr>
    </w:p>
    <w:p>
      <w:pPr>
        <w:pStyle w:val="BodyText"/>
        <w:spacing w:before="8"/>
      </w:pPr>
      <w:r>
        <w:rPr/>
        <w:pict>
          <v:group style="position:absolute;margin-left:52.910301pt;margin-top:16.97242pt;width:294.75pt;height:89.8pt;mso-position-horizontal-relative:page;mso-position-vertical-relative:paragraph;z-index:-15662592;mso-wrap-distance-left:0;mso-wrap-distance-right:0" coordorigin="1058,339" coordsize="5895,1796">
            <v:shape style="position:absolute;left:1303;top:435;width:5650;height:1612" coordorigin="1303,436" coordsize="5650,1612" path="m6386,436l1870,436,1542,445,1374,507,1312,675,1303,1003,1303,1480,1312,1808,1374,1976,1542,2038,1870,2047,6386,2047,6714,2038,6882,1976,6944,1808,6953,1480,6953,1003,6944,675,6882,507,6714,445,6386,436xe" filled="true" fillcolor="#3e77a4" stroked="false">
              <v:path arrowok="t"/>
              <v:fill type="solid"/>
            </v:shape>
            <v:shape style="position:absolute;left:1058;top:339;width:1796;height:1796" coordorigin="1058,339" coordsize="1796,1796" path="m1956,339l1882,342,1810,351,1740,366,1672,385,1607,410,1543,440,1483,474,1426,513,1372,556,1321,602,1274,653,1231,707,1193,764,1158,825,1129,888,1104,954,1084,1022,1070,1092,1061,1164,1058,1237,1061,1311,1070,1383,1084,1453,1104,1521,1129,1587,1158,1650,1193,1710,1231,1768,1274,1822,1321,1872,1372,1919,1426,1962,1483,2001,1543,2035,1607,2065,1672,2089,1740,2109,1810,2123,1882,2132,1956,2135,2030,2132,2102,2123,2172,2109,2240,2089,2306,2065,2369,2035,2429,2001,2486,1962,2540,1919,2591,1872,2638,1822,2681,1768,2719,1710,2754,1650,2783,1587,2808,1521,2828,1453,2842,1383,2851,1311,2854,1237,2851,1164,2842,1092,2828,1022,2808,954,2783,888,2754,825,2719,764,2681,707,2638,653,2591,602,2540,556,2486,513,2429,474,2369,440,2306,410,2240,385,2172,366,2102,351,2030,342,1956,339xe" filled="true" fillcolor="#d5583b" stroked="false">
              <v:path arrowok="t"/>
              <v:fill type="solid"/>
            </v:shape>
            <v:shape style="position:absolute;left:1398;top:511;width:1182;height:1402" coordorigin="1398,512" coordsize="1182,1402" path="m1676,1014l1670,970,1578,983,1585,1027,1676,1014xm1696,854l1616,812,1595,853,1675,894,1696,854xm1727,1128l1703,1089,1627,1138,1651,1176,1727,1128xm1781,766l1731,698,1694,725,1744,794,1781,766xm1901,734l1889,654,1845,660,1857,740,1901,734xm2027,1351l1907,1368,1916,1376,1926,1383,1936,1389,1949,1397,1957,1397,1975,1395,1990,1390,2004,1381,2015,1367,2018,1362,2022,1357,2027,1351xm2036,1265l2033,1245,2025,1240,1876,1261,1870,1268,1873,1289,1880,1294,1955,1283,2030,1273,2036,1265xm2041,1321l2038,1300,2030,1295,1887,1315,1880,1323,1883,1343,1892,1349,1963,1339,2035,1328,2041,1321xm2050,674l2007,658,1978,738,2021,754,2050,674xm2100,966l2097,932,2085,891,2067,855,2040,826,2004,802,1967,788,1929,782,1891,783,1852,791,1781,828,1737,884,1720,953,1731,1029,1740,1051,1751,1071,1764,1091,1778,1109,1809,1148,1824,1169,1838,1191,1849,1214,1855,1240,1900,1234,1899,1229,1899,1225,1884,1183,1878,1171,1865,1147,1849,1125,1816,1083,1802,1065,1790,1047,1779,1027,1771,1005,1765,961,1772,920,1792,883,1825,853,1848,841,1871,833,1896,828,1922,827,1975,839,2017,868,2045,912,2054,965,2052,990,2047,1013,2039,1036,2031,1059,2011,1106,2003,1131,1997,1155,1994,1171,1993,1187,1993,1204,1995,1220,2039,1214,2039,1182,2044,1152,2054,1123,2078,1064,2089,1032,2097,999,2100,966xm2181,769l2149,736,2084,798,2116,831,2181,769xm2229,1051l2143,1030,2132,1074,2218,1096,2229,1051xm2240,933l2233,889,2142,902,2148,946,2240,933xm2580,1421l2578,1397,2538,1239,2538,1416,2412,1416,2411,1469,2411,1570,2412,1614,2406,1649,2389,1675,2363,1691,2331,1696,2268,1695,2205,1695,2079,1695,2059,1695,2059,1737,2159,1737,2185,1870,1633,1870,1632,1844,1632,1767,1627,1681,1617,1596,1601,1511,1578,1428,1560,1377,1540,1326,1519,1276,1498,1226,1487,1201,1475,1175,1464,1149,1454,1123,1449,1108,1446,1092,1443,1075,1442,1059,1447,974,1463,896,1490,825,1529,760,1578,702,1639,651,1711,606,1776,578,1843,561,1912,555,1983,557,2058,569,2125,591,2186,622,2241,663,2289,711,2331,769,2368,833,2394,890,2415,949,2433,1008,2448,1068,2470,1151,2491,1234,2536,1404,2536,1409,2538,1416,2538,1239,2516,1153,2494,1072,2473,990,2453,922,2427,855,2396,791,2358,731,2305,666,2245,612,2178,570,2142,555,2104,539,2022,520,1962,512,1924,512,1896,515,1864,517,1849,519,1833,521,1757,542,1687,571,1623,609,1567,655,1517,709,1474,771,1438,842,1415,907,1401,973,1398,1040,1408,1108,1417,1139,1428,1170,1441,1201,1455,1231,1489,1310,1520,1389,1547,1469,1568,1551,1581,1636,1587,1706,1591,1775,1591,1844,1587,1913,2236,1913,2227,1870,2201,1738,2219,1738,2278,1738,2325,1738,2338,1738,2379,1730,2414,1709,2424,1696,2438,1677,2449,1638,2451,1604,2451,1570,2451,1458,2458,1457,2463,1457,2487,1457,2517,1457,2530,1457,2533,1457,2556,1452,2572,1440,2580,1421xe" filled="true" fillcolor="#ffffff" stroked="false">
              <v:path arrowok="t"/>
              <v:fill type="solid"/>
            </v:shape>
            <v:line style="position:absolute" from="3103,1089" to="6703,1089" stroked="true" strokeweight="1pt" strokecolor="#ffffff">
              <v:stroke dashstyle="solid"/>
            </v:line>
            <v:shape style="position:absolute;left:1058;top:339;width:5895;height:1796" type="#_x0000_t202" filled="false" stroked="false">
              <v:textbox inset="0,0,0,0">
                <w:txbxContent>
                  <w:p>
                    <w:pPr>
                      <w:spacing w:before="289"/>
                      <w:ind w:left="2024" w:right="1435" w:firstLine="0"/>
                      <w:jc w:val="center"/>
                      <w:rPr>
                        <w:rFonts w:ascii="Avenir"/>
                        <w:b/>
                        <w:sz w:val="28"/>
                      </w:rPr>
                    </w:pPr>
                    <w:r>
                      <w:rPr>
                        <w:rFonts w:ascii="Avenir"/>
                        <w:b/>
                        <w:color w:val="FFFFFF"/>
                        <w:sz w:val="28"/>
                      </w:rPr>
                      <w:t>DID YOU KNOW?</w:t>
                    </w:r>
                  </w:p>
                  <w:p>
                    <w:pPr>
                      <w:spacing w:line="218" w:lineRule="auto" w:before="245"/>
                      <w:ind w:left="2045" w:right="164" w:firstLine="0"/>
                      <w:jc w:val="left"/>
                      <w:rPr>
                        <w:sz w:val="22"/>
                      </w:rPr>
                    </w:pPr>
                    <w:r>
                      <w:rPr>
                        <w:color w:val="FFFFFF"/>
                        <w:sz w:val="22"/>
                      </w:rPr>
                      <w:t>S.137 (1) requests have been made on only two occasions since 2016.</w:t>
                    </w:r>
                  </w:p>
                </w:txbxContent>
              </v:textbox>
              <w10:wrap type="none"/>
            </v:shape>
            <w10:wrap type="topAndBottom"/>
          </v:group>
        </w:pict>
      </w:r>
    </w:p>
    <w:p>
      <w:pPr>
        <w:spacing w:after="0"/>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01856" filled="true" fillcolor="#3b957d" stroked="false">
            <v:fill type="solid"/>
            <w10:wrap type="none"/>
          </v:rect>
        </w:pict>
      </w:r>
      <w:r>
        <w:rPr/>
        <w:pict>
          <v:shape style="position:absolute;margin-left:573.765198pt;margin-top:182.052719pt;width:15.7pt;height:477.8pt;mso-position-horizontal-relative:page;mso-position-vertical-relative:page;z-index:15802368"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23</w:t>
      </w:r>
    </w:p>
    <w:p>
      <w:pPr>
        <w:pStyle w:val="BodyText"/>
        <w:rPr>
          <w:sz w:val="48"/>
        </w:rPr>
      </w:pPr>
    </w:p>
    <w:p>
      <w:pPr>
        <w:pStyle w:val="BodyText"/>
        <w:spacing w:before="8"/>
        <w:rPr>
          <w:sz w:val="62"/>
        </w:rPr>
      </w:pPr>
    </w:p>
    <w:p>
      <w:pPr>
        <w:pStyle w:val="Heading1"/>
        <w:spacing w:line="211" w:lineRule="auto" w:before="0"/>
        <w:ind w:right="1262"/>
      </w:pPr>
      <w:r>
        <w:rPr>
          <w:color w:val="3B957D"/>
        </w:rPr>
        <w:t>Achievements the Safeguarding Boards made during the year</w:t>
      </w:r>
    </w:p>
    <w:p>
      <w:pPr>
        <w:pStyle w:val="BodyText"/>
        <w:spacing w:line="230" w:lineRule="auto" w:before="236"/>
        <w:ind w:left="360" w:right="734"/>
      </w:pPr>
      <w:r>
        <w:rPr>
          <w:color w:val="231F20"/>
        </w:rPr>
        <w:t>It is not clear that all the Regional Boards have a shared understanding of what best exemplifies safeguarding achievements. Two Boards did not specifically address the topic. We have included reference to mistakes/ obstacles to progress since there is learning from these and the Regional Boards concerned are developing more effective responses.</w:t>
      </w:r>
    </w:p>
    <w:p>
      <w:pPr>
        <w:pStyle w:val="BodyText"/>
        <w:spacing w:before="5"/>
        <w:rPr>
          <w:sz w:val="21"/>
        </w:rPr>
      </w:pPr>
    </w:p>
    <w:p>
      <w:pPr>
        <w:pStyle w:val="BodyText"/>
        <w:spacing w:line="230" w:lineRule="auto"/>
        <w:ind w:left="360" w:right="734"/>
      </w:pPr>
      <w:r>
        <w:rPr>
          <w:color w:val="231F20"/>
        </w:rPr>
        <w:t>One Regional Board noted that a Child Practice Review “was not published as a direct request of the Child Subject…” However, an order of the court is required because the statutory regulations state that it is a function of Boards to “make the practice review report publicly available” (4 (4) (l)).</w:t>
      </w:r>
    </w:p>
    <w:p>
      <w:pPr>
        <w:pStyle w:val="BodyText"/>
        <w:rPr>
          <w:sz w:val="20"/>
        </w:rPr>
      </w:pPr>
    </w:p>
    <w:p>
      <w:pPr>
        <w:pStyle w:val="BodyText"/>
        <w:rPr>
          <w:sz w:val="20"/>
        </w:rPr>
      </w:pPr>
    </w:p>
    <w:p>
      <w:pPr>
        <w:pStyle w:val="BodyText"/>
        <w:rPr>
          <w:sz w:val="20"/>
        </w:rPr>
      </w:pPr>
    </w:p>
    <w:p>
      <w:pPr>
        <w:pStyle w:val="BodyText"/>
        <w:spacing w:before="11"/>
        <w:rPr>
          <w:sz w:val="12"/>
        </w:rPr>
      </w:pPr>
      <w:r>
        <w:rPr/>
        <w:pict>
          <v:group style="position:absolute;margin-left:36.422001pt;margin-top:10.45862pt;width:500.8pt;height:355.7pt;mso-position-horizontal-relative:page;mso-position-vertical-relative:paragraph;z-index:-15655936;mso-wrap-distance-left:0;mso-wrap-distance-right:0" coordorigin="728,209" coordsize="10016,7114">
            <v:shape style="position:absolute;left:728;top:209;width:10016;height:7114" coordorigin="728,209" coordsize="10016,7114" path="m10744,209l728,209,728,7078,728,7323,10744,7323,10744,7078,10744,209xe" filled="true" fillcolor="#231f20" stroked="false">
              <v:path arrowok="t"/>
              <v:fill opacity="13107f" type="solid"/>
            </v:shape>
            <v:shape style="position:absolute;left:822;top:291;width:9552;height:6660" coordorigin="822,291" coordsize="9552,6660" path="m10374,291l822,291,822,307,822,6935,822,6951,10374,6951,10374,6936,10374,6935,10374,308,10358,308,10358,6935,839,6935,839,307,10374,307,10374,291xe" filled="true" fillcolor="#e5bc75" stroked="false">
              <v:path arrowok="t"/>
              <v:fill opacity="32768f" type="solid"/>
            </v:shape>
            <v:shape style="position:absolute;left:871;top:361;width:9451;height:6491" type="#_x0000_t75" stroked="false">
              <v:imagedata r:id="rId21" o:title=""/>
            </v:shape>
            <v:shape style="position:absolute;left:1365;top:880;width:8470;height:5470" type="#_x0000_t202" filled="false" stroked="true" strokeweight=".848pt" strokecolor="#e5bc75">
              <v:textbox inset="0,0,0,0">
                <w:txbxContent>
                  <w:p>
                    <w:pPr>
                      <w:spacing w:before="272"/>
                      <w:ind w:left="2845" w:right="2807" w:firstLine="0"/>
                      <w:jc w:val="center"/>
                      <w:rPr>
                        <w:rFonts w:ascii="Avenir"/>
                        <w:b/>
                        <w:sz w:val="36"/>
                      </w:rPr>
                    </w:pPr>
                    <w:r>
                      <w:rPr>
                        <w:rFonts w:ascii="Avenir"/>
                        <w:b/>
                        <w:color w:val="231F20"/>
                        <w:sz w:val="36"/>
                      </w:rPr>
                      <w:t>Cardiff and Vale</w:t>
                    </w:r>
                  </w:p>
                  <w:p>
                    <w:pPr>
                      <w:numPr>
                        <w:ilvl w:val="0"/>
                        <w:numId w:val="1"/>
                      </w:numPr>
                      <w:tabs>
                        <w:tab w:pos="581" w:val="left" w:leader="none"/>
                        <w:tab w:pos="582" w:val="left" w:leader="none"/>
                      </w:tabs>
                      <w:spacing w:line="286" w:lineRule="exact" w:before="212"/>
                      <w:ind w:left="581" w:right="0" w:hanging="341"/>
                      <w:jc w:val="left"/>
                      <w:rPr>
                        <w:sz w:val="22"/>
                      </w:rPr>
                    </w:pPr>
                    <w:r>
                      <w:rPr>
                        <w:color w:val="231F20"/>
                        <w:sz w:val="22"/>
                      </w:rPr>
                      <w:t>is leading the review of the All Wales Adult and Child Protection Procedures</w:t>
                    </w:r>
                    <w:r>
                      <w:rPr>
                        <w:color w:val="231F20"/>
                        <w:spacing w:val="-19"/>
                        <w:sz w:val="22"/>
                      </w:rPr>
                      <w:t> </w:t>
                    </w:r>
                    <w:r>
                      <w:rPr>
                        <w:color w:val="231F20"/>
                        <w:sz w:val="22"/>
                      </w:rPr>
                      <w:t>-</w:t>
                    </w:r>
                  </w:p>
                  <w:p>
                    <w:pPr>
                      <w:spacing w:line="286" w:lineRule="exact" w:before="0"/>
                      <w:ind w:left="581" w:right="0" w:firstLine="0"/>
                      <w:jc w:val="left"/>
                      <w:rPr>
                        <w:sz w:val="22"/>
                      </w:rPr>
                    </w:pPr>
                    <w:r>
                      <w:rPr>
                        <w:color w:val="231F20"/>
                        <w:sz w:val="22"/>
                      </w:rPr>
                      <w:t>recognises that the annual plans for 2017-18 “required development”</w:t>
                    </w:r>
                  </w:p>
                  <w:p>
                    <w:pPr>
                      <w:numPr>
                        <w:ilvl w:val="0"/>
                        <w:numId w:val="1"/>
                      </w:numPr>
                      <w:tabs>
                        <w:tab w:pos="581" w:val="left" w:leader="none"/>
                        <w:tab w:pos="582" w:val="left" w:leader="none"/>
                      </w:tabs>
                      <w:spacing w:line="230" w:lineRule="auto" w:before="111"/>
                      <w:ind w:left="581" w:right="363" w:hanging="340"/>
                      <w:jc w:val="left"/>
                      <w:rPr>
                        <w:sz w:val="22"/>
                      </w:rPr>
                    </w:pPr>
                    <w:r>
                      <w:rPr>
                        <w:color w:val="231F20"/>
                        <w:sz w:val="22"/>
                      </w:rPr>
                      <w:t>knows that there are some areas of safeguarding practice that “have not </w:t>
                    </w:r>
                    <w:r>
                      <w:rPr>
                        <w:color w:val="231F20"/>
                        <w:spacing w:val="-6"/>
                        <w:sz w:val="22"/>
                      </w:rPr>
                      <w:t>had </w:t>
                    </w:r>
                    <w:r>
                      <w:rPr>
                        <w:color w:val="231F20"/>
                        <w:sz w:val="22"/>
                      </w:rPr>
                      <w:t>the attention they</w:t>
                    </w:r>
                    <w:r>
                      <w:rPr>
                        <w:color w:val="231F20"/>
                        <w:spacing w:val="-1"/>
                        <w:sz w:val="22"/>
                      </w:rPr>
                      <w:t> </w:t>
                    </w:r>
                    <w:r>
                      <w:rPr>
                        <w:color w:val="231F20"/>
                        <w:sz w:val="22"/>
                      </w:rPr>
                      <w:t>require”</w:t>
                    </w:r>
                  </w:p>
                  <w:p>
                    <w:pPr>
                      <w:numPr>
                        <w:ilvl w:val="0"/>
                        <w:numId w:val="1"/>
                      </w:numPr>
                      <w:tabs>
                        <w:tab w:pos="581" w:val="left" w:leader="none"/>
                        <w:tab w:pos="582" w:val="left" w:leader="none"/>
                      </w:tabs>
                      <w:spacing w:line="230" w:lineRule="auto" w:before="113"/>
                      <w:ind w:left="581" w:right="808" w:hanging="340"/>
                      <w:jc w:val="left"/>
                      <w:rPr>
                        <w:sz w:val="22"/>
                      </w:rPr>
                    </w:pPr>
                    <w:r>
                      <w:rPr>
                        <w:color w:val="231F20"/>
                        <w:sz w:val="22"/>
                      </w:rPr>
                      <w:t>is involved in the development of the ‘Suicide and Self-Harm </w:t>
                    </w:r>
                    <w:r>
                      <w:rPr>
                        <w:color w:val="231F20"/>
                        <w:spacing w:val="-3"/>
                        <w:sz w:val="22"/>
                      </w:rPr>
                      <w:t>Prevention </w:t>
                    </w:r>
                    <w:r>
                      <w:rPr>
                        <w:color w:val="231F20"/>
                        <w:sz w:val="22"/>
                      </w:rPr>
                      <w:t>Strategy’ following a presentation to the Board in November</w:t>
                    </w:r>
                    <w:r>
                      <w:rPr>
                        <w:color w:val="231F20"/>
                        <w:spacing w:val="-5"/>
                        <w:sz w:val="22"/>
                      </w:rPr>
                      <w:t> </w:t>
                    </w:r>
                    <w:r>
                      <w:rPr>
                        <w:color w:val="231F20"/>
                        <w:sz w:val="22"/>
                      </w:rPr>
                      <w:t>2017.</w:t>
                    </w:r>
                  </w:p>
                  <w:p>
                    <w:pPr>
                      <w:numPr>
                        <w:ilvl w:val="0"/>
                        <w:numId w:val="1"/>
                      </w:numPr>
                      <w:tabs>
                        <w:tab w:pos="581" w:val="left" w:leader="none"/>
                        <w:tab w:pos="582" w:val="left" w:leader="none"/>
                      </w:tabs>
                      <w:spacing w:line="230" w:lineRule="auto" w:before="114"/>
                      <w:ind w:left="581" w:right="377" w:hanging="340"/>
                      <w:jc w:val="left"/>
                      <w:rPr>
                        <w:sz w:val="22"/>
                      </w:rPr>
                    </w:pPr>
                    <w:r>
                      <w:rPr>
                        <w:color w:val="231F20"/>
                        <w:sz w:val="22"/>
                      </w:rPr>
                      <w:t>Public Health Wales carried out a multi-agency re-audit of children who </w:t>
                    </w:r>
                    <w:r>
                      <w:rPr>
                        <w:color w:val="231F20"/>
                        <w:spacing w:val="-5"/>
                        <w:sz w:val="22"/>
                      </w:rPr>
                      <w:t>have </w:t>
                    </w:r>
                    <w:r>
                      <w:rPr>
                        <w:color w:val="231F20"/>
                        <w:sz w:val="22"/>
                      </w:rPr>
                      <w:t>harmful sexual </w:t>
                    </w:r>
                    <w:r>
                      <w:rPr>
                        <w:color w:val="231F20"/>
                        <w:spacing w:val="-3"/>
                        <w:sz w:val="22"/>
                      </w:rPr>
                      <w:t>behaviour.</w:t>
                    </w:r>
                  </w:p>
                  <w:p>
                    <w:pPr>
                      <w:numPr>
                        <w:ilvl w:val="0"/>
                        <w:numId w:val="1"/>
                      </w:numPr>
                      <w:tabs>
                        <w:tab w:pos="581" w:val="left" w:leader="none"/>
                        <w:tab w:pos="582" w:val="left" w:leader="none"/>
                      </w:tabs>
                      <w:spacing w:line="230" w:lineRule="auto" w:before="114"/>
                      <w:ind w:left="581" w:right="471" w:hanging="340"/>
                      <w:jc w:val="left"/>
                      <w:rPr>
                        <w:sz w:val="22"/>
                      </w:rPr>
                    </w:pPr>
                    <w:r>
                      <w:rPr>
                        <w:color w:val="231F20"/>
                        <w:sz w:val="22"/>
                      </w:rPr>
                      <w:t>launched a safeguarding policy for Mosques and other Islamic Studies Settings during National Safeguarding Week in partnership with the </w:t>
                    </w:r>
                    <w:r>
                      <w:rPr>
                        <w:color w:val="231F20"/>
                        <w:spacing w:val="-3"/>
                        <w:sz w:val="22"/>
                      </w:rPr>
                      <w:t>Muslim </w:t>
                    </w:r>
                    <w:r>
                      <w:rPr>
                        <w:color w:val="231F20"/>
                        <w:sz w:val="22"/>
                      </w:rPr>
                      <w:t>Council of Wales. The success of this engagement now provides a</w:t>
                    </w:r>
                    <w:r>
                      <w:rPr>
                        <w:color w:val="231F20"/>
                        <w:spacing w:val="-9"/>
                        <w:sz w:val="22"/>
                      </w:rPr>
                      <w:t> </w:t>
                    </w:r>
                    <w:r>
                      <w:rPr>
                        <w:color w:val="231F20"/>
                        <w:sz w:val="22"/>
                      </w:rPr>
                      <w:t>basis</w:t>
                    </w:r>
                  </w:p>
                  <w:p>
                    <w:pPr>
                      <w:spacing w:line="230" w:lineRule="auto" w:before="0"/>
                      <w:ind w:left="581" w:right="796" w:firstLine="0"/>
                      <w:jc w:val="left"/>
                      <w:rPr>
                        <w:sz w:val="22"/>
                      </w:rPr>
                    </w:pPr>
                    <w:r>
                      <w:rPr>
                        <w:color w:val="231F20"/>
                        <w:sz w:val="22"/>
                      </w:rPr>
                      <w:t>for engaging the communities in similar developments concerning adult safeguarding and this has been well received by local leaders.</w:t>
                    </w:r>
                  </w:p>
                </w:txbxContent>
              </v:textbox>
              <v:stroke dashstyle="solid"/>
              <w10:wrap type="none"/>
            </v:shape>
            <w10:wrap type="topAndBottom"/>
          </v:group>
        </w:pict>
      </w:r>
    </w:p>
    <w:p>
      <w:pPr>
        <w:spacing w:after="0"/>
        <w:rPr>
          <w:sz w:val="12"/>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74080" filled="true" fillcolor="#3b957d" stroked="false">
            <v:fill type="solid"/>
            <w10:wrap type="none"/>
          </v:rect>
        </w:pict>
      </w:r>
      <w:r>
        <w:rPr/>
        <w:pict>
          <v:group style="position:absolute;margin-left:66.167999pt;margin-top:88.258011pt;width:511.2pt;height:719.65pt;mso-position-horizontal-relative:page;mso-position-vertical-relative:page;z-index:-17773568" coordorigin="1323,1765" coordsize="10224,14393">
            <v:shape style="position:absolute;left:1323;top:1765;width:10224;height:14393" coordorigin="1323,1765" coordsize="10224,14393" path="m11547,1765l1323,1765,1323,15803,1323,16158,11547,16158,11547,15803,11547,1765xe" filled="true" fillcolor="#231f20" stroked="false">
              <v:path arrowok="t"/>
              <v:fill opacity="13107f" type="solid"/>
            </v:shape>
            <v:shape style="position:absolute;left:1460;top:1899;width:9572;height:13726" coordorigin="1460,1900" coordsize="9572,13726" path="m10197,2670l10173,2670,10173,2694,10173,14838,2337,14838,2337,2694,10173,2694,10173,2670,2313,2670,2313,2694,2313,14838,2313,14862,10197,14862,10197,14838,10197,14838,10197,2694,10197,2693,10197,2670xm11032,1924l11008,1924,11008,15601,11032,15601,11032,1924xm11032,1900l1460,1900,1460,1924,1460,15602,1460,15626,11032,15626,11032,15602,1484,15602,1484,1924,11032,1924,11032,1900xe" filled="true" fillcolor="#e5bc75" stroked="false">
              <v:path arrowok="t"/>
              <v:fill opacity="32768f" type="solid"/>
            </v:shape>
            <v:shape style="position:absolute;left:10298;top:1970;width:632;height:13579" type="#_x0000_t75" stroked="false">
              <v:imagedata r:id="rId22" o:title=""/>
            </v:shape>
            <v:shape style="position:absolute;left:1603;top:1970;width:632;height:13579" type="#_x0000_t75" stroked="false">
              <v:imagedata r:id="rId23" o:title=""/>
            </v:shape>
            <v:shape style="position:absolute;left:2360;top:1970;width:7825;height:632" type="#_x0000_t75" stroked="false">
              <v:imagedata r:id="rId24" o:title=""/>
            </v:shape>
            <v:shape style="position:absolute;left:2360;top:14918;width:7825;height:632" type="#_x0000_t75" stroked="false">
              <v:imagedata r:id="rId25" o:title=""/>
            </v:shape>
            <w10:wrap type="none"/>
          </v:group>
        </w:pict>
      </w:r>
    </w:p>
    <w:p>
      <w:pPr>
        <w:pStyle w:val="BodyText"/>
        <w:spacing w:before="6"/>
      </w:pPr>
    </w:p>
    <w:p>
      <w:pPr>
        <w:tabs>
          <w:tab w:pos="7398" w:val="left" w:leader="none"/>
        </w:tabs>
        <w:spacing w:before="100"/>
        <w:ind w:left="927" w:right="0" w:firstLine="0"/>
        <w:jc w:val="left"/>
        <w:rPr>
          <w:sz w:val="16"/>
        </w:rPr>
      </w:pPr>
      <w:r>
        <w:rPr>
          <w:color w:val="231F20"/>
          <w:sz w:val="16"/>
        </w:rPr>
        <w:t>24</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100"/>
        <w:ind w:left="1550" w:right="744" w:firstLine="0"/>
        <w:jc w:val="center"/>
        <w:rPr>
          <w:rFonts w:ascii="Avenir"/>
          <w:b/>
          <w:sz w:val="36"/>
        </w:rPr>
      </w:pPr>
      <w:r>
        <w:rPr/>
        <w:pict>
          <v:shape style="position:absolute;margin-left:7.0315pt;margin-top:-61.431923pt;width:15.7pt;height:477.8pt;mso-position-horizontal-relative:page;mso-position-vertical-relative:paragraph;z-index:-17773056"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rFonts w:ascii="Avenir"/>
          <w:b/>
          <w:color w:val="231F20"/>
          <w:sz w:val="36"/>
        </w:rPr>
        <w:t>Cwm Taf</w:t>
      </w:r>
    </w:p>
    <w:p>
      <w:pPr>
        <w:pStyle w:val="ListParagraph"/>
        <w:numPr>
          <w:ilvl w:val="0"/>
          <w:numId w:val="2"/>
        </w:numPr>
        <w:tabs>
          <w:tab w:pos="2730" w:val="left" w:leader="none"/>
          <w:tab w:pos="2731" w:val="left" w:leader="none"/>
        </w:tabs>
        <w:spacing w:line="230" w:lineRule="auto" w:before="221" w:after="0"/>
        <w:ind w:left="2730" w:right="1640" w:hanging="340"/>
        <w:jc w:val="left"/>
        <w:rPr>
          <w:sz w:val="22"/>
        </w:rPr>
      </w:pPr>
      <w:r>
        <w:rPr>
          <w:color w:val="231F20"/>
          <w:sz w:val="22"/>
        </w:rPr>
        <w:t>the National Probation Service referred a man who was intending </w:t>
      </w:r>
      <w:r>
        <w:rPr>
          <w:color w:val="231F20"/>
          <w:spacing w:val="-9"/>
          <w:sz w:val="22"/>
        </w:rPr>
        <w:t>to </w:t>
      </w:r>
      <w:r>
        <w:rPr>
          <w:color w:val="231F20"/>
          <w:sz w:val="22"/>
        </w:rPr>
        <w:t>return to live with his partner following a prison sentence for having harmed </w:t>
      </w:r>
      <w:r>
        <w:rPr>
          <w:color w:val="231F20"/>
          <w:spacing w:val="-6"/>
          <w:sz w:val="22"/>
        </w:rPr>
        <w:t>her. </w:t>
      </w:r>
      <w:r>
        <w:rPr>
          <w:color w:val="231F20"/>
          <w:sz w:val="22"/>
        </w:rPr>
        <w:t>A Domestic Violence Advocate worked with his partner and supported her “in her new found determination to remove herself from the</w:t>
      </w:r>
      <w:r>
        <w:rPr>
          <w:color w:val="231F20"/>
          <w:spacing w:val="-1"/>
          <w:sz w:val="22"/>
        </w:rPr>
        <w:t> </w:t>
      </w:r>
      <w:r>
        <w:rPr>
          <w:color w:val="231F20"/>
          <w:sz w:val="22"/>
        </w:rPr>
        <w:t>relationship”</w:t>
      </w:r>
    </w:p>
    <w:p>
      <w:pPr>
        <w:pStyle w:val="ListParagraph"/>
        <w:numPr>
          <w:ilvl w:val="0"/>
          <w:numId w:val="2"/>
        </w:numPr>
        <w:tabs>
          <w:tab w:pos="2730" w:val="left" w:leader="none"/>
          <w:tab w:pos="2731" w:val="left" w:leader="none"/>
        </w:tabs>
        <w:spacing w:line="230" w:lineRule="auto" w:before="114" w:after="0"/>
        <w:ind w:left="2730" w:right="1602" w:hanging="340"/>
        <w:jc w:val="left"/>
        <w:rPr>
          <w:sz w:val="22"/>
        </w:rPr>
      </w:pPr>
      <w:r>
        <w:rPr>
          <w:color w:val="231F20"/>
          <w:sz w:val="22"/>
        </w:rPr>
        <w:t>was praised for promoting contact between a father with mental health problems and his children. Child protection procedures commenced when a GP alerted the Multi-Agency Safeguarding </w:t>
      </w:r>
      <w:r>
        <w:rPr>
          <w:color w:val="231F20"/>
          <w:spacing w:val="-6"/>
          <w:sz w:val="22"/>
        </w:rPr>
        <w:t>Hub </w:t>
      </w:r>
      <w:r>
        <w:rPr>
          <w:color w:val="231F20"/>
          <w:sz w:val="22"/>
        </w:rPr>
        <w:t>to the </w:t>
      </w:r>
      <w:r>
        <w:rPr>
          <w:color w:val="231F20"/>
          <w:spacing w:val="-5"/>
          <w:sz w:val="22"/>
        </w:rPr>
        <w:t>man’s </w:t>
      </w:r>
      <w:r>
        <w:rPr>
          <w:color w:val="231F20"/>
          <w:sz w:val="22"/>
        </w:rPr>
        <w:t>mental</w:t>
      </w:r>
      <w:r>
        <w:rPr>
          <w:color w:val="231F20"/>
          <w:spacing w:val="5"/>
          <w:sz w:val="22"/>
        </w:rPr>
        <w:t> </w:t>
      </w:r>
      <w:r>
        <w:rPr>
          <w:color w:val="231F20"/>
          <w:sz w:val="22"/>
        </w:rPr>
        <w:t>deterioration</w:t>
      </w:r>
    </w:p>
    <w:p>
      <w:pPr>
        <w:pStyle w:val="ListParagraph"/>
        <w:numPr>
          <w:ilvl w:val="0"/>
          <w:numId w:val="2"/>
        </w:numPr>
        <w:tabs>
          <w:tab w:pos="2730" w:val="left" w:leader="none"/>
          <w:tab w:pos="2731" w:val="left" w:leader="none"/>
        </w:tabs>
        <w:spacing w:line="230" w:lineRule="auto" w:before="114" w:after="0"/>
        <w:ind w:left="2730" w:right="1583" w:hanging="340"/>
        <w:jc w:val="left"/>
        <w:rPr>
          <w:sz w:val="22"/>
        </w:rPr>
      </w:pPr>
      <w:r>
        <w:rPr>
          <w:color w:val="231F20"/>
          <w:sz w:val="22"/>
        </w:rPr>
        <w:t>its “life journey work” with siblings with additional learning needs enabled them “to understand the court process and the decisions that had been made about them” and allowed them to express </w:t>
      </w:r>
      <w:r>
        <w:rPr>
          <w:color w:val="231F20"/>
          <w:spacing w:val="-4"/>
          <w:sz w:val="22"/>
        </w:rPr>
        <w:t>their </w:t>
      </w:r>
      <w:r>
        <w:rPr>
          <w:color w:val="231F20"/>
          <w:sz w:val="22"/>
        </w:rPr>
        <w:t>wishes and feelings about future contact with [their birth]</w:t>
      </w:r>
      <w:r>
        <w:rPr>
          <w:color w:val="231F20"/>
          <w:spacing w:val="-3"/>
          <w:sz w:val="22"/>
        </w:rPr>
        <w:t> </w:t>
      </w:r>
      <w:r>
        <w:rPr>
          <w:color w:val="231F20"/>
          <w:sz w:val="22"/>
        </w:rPr>
        <w:t>family</w:t>
      </w:r>
    </w:p>
    <w:p>
      <w:pPr>
        <w:pStyle w:val="ListParagraph"/>
        <w:numPr>
          <w:ilvl w:val="0"/>
          <w:numId w:val="2"/>
        </w:numPr>
        <w:tabs>
          <w:tab w:pos="2730" w:val="left" w:leader="none"/>
          <w:tab w:pos="2731" w:val="left" w:leader="none"/>
        </w:tabs>
        <w:spacing w:line="230" w:lineRule="auto" w:before="114" w:after="0"/>
        <w:ind w:left="2730" w:right="1742" w:hanging="340"/>
        <w:jc w:val="left"/>
        <w:rPr>
          <w:sz w:val="22"/>
        </w:rPr>
      </w:pPr>
      <w:r>
        <w:rPr>
          <w:color w:val="231F20"/>
          <w:sz w:val="22"/>
        </w:rPr>
        <w:t>when a nursing home sought a Deprivation of Liberty </w:t>
      </w:r>
      <w:r>
        <w:rPr>
          <w:color w:val="231F20"/>
          <w:spacing w:val="-2"/>
          <w:sz w:val="22"/>
        </w:rPr>
        <w:t>authorisation </w:t>
      </w:r>
      <w:r>
        <w:rPr>
          <w:color w:val="231F20"/>
          <w:sz w:val="22"/>
        </w:rPr>
        <w:t>for woman with “severe dementia” her considerable wealth was revealed. Although no one had the authority to manage this for </w:t>
      </w:r>
      <w:r>
        <w:rPr>
          <w:color w:val="231F20"/>
          <w:spacing w:val="-6"/>
          <w:sz w:val="22"/>
        </w:rPr>
        <w:t>her, </w:t>
      </w:r>
      <w:r>
        <w:rPr>
          <w:color w:val="231F20"/>
          <w:sz w:val="22"/>
        </w:rPr>
        <w:t>a relative was stealing from her bank account. The assessor arranged for the services of an advocate, a solicitor took over the</w:t>
      </w:r>
    </w:p>
    <w:p>
      <w:pPr>
        <w:pStyle w:val="BodyText"/>
        <w:spacing w:line="230" w:lineRule="auto" w:before="1"/>
        <w:ind w:left="2730" w:right="1262"/>
      </w:pPr>
      <w:r>
        <w:rPr>
          <w:color w:val="231F20"/>
        </w:rPr>
        <w:t>management of the woman’s financial affairs, the safeguarding team ensured that [her] money was safeguarded and the relative was arrested.</w:t>
      </w:r>
    </w:p>
    <w:p>
      <w:pPr>
        <w:spacing w:after="0" w:line="230" w:lineRule="auto"/>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04928" filled="true" fillcolor="#3b957d" stroked="false">
            <v:fill type="solid"/>
            <w10:wrap type="none"/>
          </v:rect>
        </w:pict>
      </w:r>
      <w:r>
        <w:rPr/>
        <w:pict>
          <v:shape style="position:absolute;margin-left:573.765198pt;margin-top:182.052719pt;width:15.7pt;height:477.8pt;mso-position-horizontal-relative:page;mso-position-vertical-relative:page;z-index:15805952"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pict>
          <v:group style="position:absolute;margin-left:38.474998pt;margin-top:59.242023pt;width:511.2pt;height:719.65pt;mso-position-horizontal-relative:page;mso-position-vertical-relative:paragraph;z-index:-17771520" coordorigin="769,1185" coordsize="10224,14393">
            <v:shape style="position:absolute;left:769;top:1184;width:10224;height:14393" coordorigin="770,1185" coordsize="10224,14393" path="m10994,1185l770,1185,770,15223,770,15578,10994,15578,10994,15223,10994,1185xe" filled="true" fillcolor="#231f20" stroked="false">
              <v:path arrowok="t"/>
              <v:fill opacity="13107f" type="solid"/>
            </v:shape>
            <v:shape style="position:absolute;left:906;top:1319;width:9572;height:13726" coordorigin="907,1319" coordsize="9572,13726" path="m10478,1344l10454,1344,10454,15021,10478,15021,10478,1344xm10478,1319l907,1319,907,1343,907,15021,907,15045,10478,15045,10478,15021,930,15021,930,1343,10478,1343,10478,1319xe" filled="true" fillcolor="#e5bc75" stroked="false">
              <v:path arrowok="t"/>
              <v:fill opacity="32768f" type="solid"/>
            </v:shape>
            <v:shape style="position:absolute;left:9744;top:1390;width:632;height:13579" type="#_x0000_t75" stroked="false">
              <v:imagedata r:id="rId26" o:title=""/>
            </v:shape>
            <v:shape style="position:absolute;left:1049;top:1390;width:632;height:13579" type="#_x0000_t75" stroked="false">
              <v:imagedata r:id="rId27" o:title=""/>
            </v:shape>
            <v:shape style="position:absolute;left:1806;top:1390;width:7825;height:632" type="#_x0000_t75" stroked="false">
              <v:imagedata r:id="rId28" o:title=""/>
            </v:shape>
            <v:shape style="position:absolute;left:1806;top:14337;width:7825;height:632" type="#_x0000_t75" stroked="false">
              <v:imagedata r:id="rId29" o:title=""/>
            </v:shape>
            <w10:wrap type="none"/>
          </v:group>
        </w:pict>
      </w:r>
      <w:r>
        <w:rPr>
          <w:color w:val="231F20"/>
          <w:sz w:val="16"/>
        </w:rPr>
        <w:t>Annual Report 2017-18</w:t>
        <w:tab/>
        <w:t>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pict>
          <v:shape style="position:absolute;margin-left:88.557999pt;margin-top:9.975pt;width:393pt;height:608.4pt;mso-position-horizontal-relative:page;mso-position-vertical-relative:paragraph;z-index:-15652864;mso-wrap-distance-left:0;mso-wrap-distance-right:0" type="#_x0000_t202" filled="false" stroked="true" strokeweight="1.195pt" strokecolor="#e5bc75">
            <v:textbox inset="0,0,0,0">
              <w:txbxContent>
                <w:p>
                  <w:pPr>
                    <w:pStyle w:val="BodyText"/>
                    <w:rPr>
                      <w:sz w:val="48"/>
                    </w:rPr>
                  </w:pPr>
                </w:p>
                <w:p>
                  <w:pPr>
                    <w:pStyle w:val="BodyText"/>
                    <w:rPr>
                      <w:sz w:val="48"/>
                    </w:rPr>
                  </w:pPr>
                </w:p>
                <w:p>
                  <w:pPr>
                    <w:pStyle w:val="BodyText"/>
                    <w:rPr>
                      <w:sz w:val="48"/>
                    </w:rPr>
                  </w:pPr>
                </w:p>
                <w:p>
                  <w:pPr>
                    <w:spacing w:before="368"/>
                    <w:ind w:left="3297" w:right="3358" w:firstLine="0"/>
                    <w:jc w:val="center"/>
                    <w:rPr>
                      <w:rFonts w:ascii="Avenir"/>
                      <w:b/>
                      <w:sz w:val="36"/>
                    </w:rPr>
                  </w:pPr>
                  <w:r>
                    <w:rPr>
                      <w:rFonts w:ascii="Avenir"/>
                      <w:b/>
                      <w:color w:val="231F20"/>
                      <w:sz w:val="36"/>
                    </w:rPr>
                    <w:t>Gwent</w:t>
                  </w:r>
                </w:p>
                <w:p>
                  <w:pPr>
                    <w:pStyle w:val="BodyText"/>
                    <w:numPr>
                      <w:ilvl w:val="0"/>
                      <w:numId w:val="3"/>
                    </w:numPr>
                    <w:tabs>
                      <w:tab w:pos="700" w:val="left" w:leader="none"/>
                      <w:tab w:pos="701" w:val="left" w:leader="none"/>
                    </w:tabs>
                    <w:spacing w:line="240" w:lineRule="auto" w:before="211" w:after="0"/>
                    <w:ind w:left="700" w:right="0" w:hanging="341"/>
                    <w:jc w:val="left"/>
                  </w:pPr>
                  <w:r>
                    <w:rPr>
                      <w:color w:val="231F20"/>
                    </w:rPr>
                    <w:t>has revised the </w:t>
                  </w:r>
                  <w:r>
                    <w:rPr>
                      <w:color w:val="231F20"/>
                      <w:spacing w:val="-5"/>
                    </w:rPr>
                    <w:t>Terms </w:t>
                  </w:r>
                  <w:r>
                    <w:rPr>
                      <w:color w:val="231F20"/>
                    </w:rPr>
                    <w:t>of Reference of the </w:t>
                  </w:r>
                  <w:r>
                    <w:rPr>
                      <w:color w:val="231F20"/>
                      <w:spacing w:val="-5"/>
                    </w:rPr>
                    <w:t>Board’s </w:t>
                  </w:r>
                  <w:r>
                    <w:rPr>
                      <w:color w:val="231F20"/>
                    </w:rPr>
                    <w:t>sub</w:t>
                  </w:r>
                  <w:r>
                    <w:rPr>
                      <w:color w:val="231F20"/>
                      <w:spacing w:val="8"/>
                    </w:rPr>
                    <w:t> </w:t>
                  </w:r>
                  <w:r>
                    <w:rPr>
                      <w:color w:val="231F20"/>
                    </w:rPr>
                    <w:t>groups</w:t>
                  </w:r>
                </w:p>
                <w:p>
                  <w:pPr>
                    <w:pStyle w:val="BodyText"/>
                    <w:numPr>
                      <w:ilvl w:val="0"/>
                      <w:numId w:val="3"/>
                    </w:numPr>
                    <w:tabs>
                      <w:tab w:pos="700" w:val="left" w:leader="none"/>
                      <w:tab w:pos="701" w:val="left" w:leader="none"/>
                    </w:tabs>
                    <w:spacing w:line="240" w:lineRule="auto" w:before="102" w:after="0"/>
                    <w:ind w:left="700" w:right="0" w:hanging="341"/>
                    <w:jc w:val="left"/>
                  </w:pPr>
                  <w:r>
                    <w:rPr>
                      <w:color w:val="231F20"/>
                    </w:rPr>
                    <w:t>has fully translated websites</w:t>
                  </w:r>
                </w:p>
                <w:p>
                  <w:pPr>
                    <w:pStyle w:val="BodyText"/>
                    <w:numPr>
                      <w:ilvl w:val="0"/>
                      <w:numId w:val="3"/>
                    </w:numPr>
                    <w:tabs>
                      <w:tab w:pos="700" w:val="left" w:leader="none"/>
                      <w:tab w:pos="701" w:val="left" w:leader="none"/>
                    </w:tabs>
                    <w:spacing w:line="230" w:lineRule="auto" w:before="111" w:after="0"/>
                    <w:ind w:left="700" w:right="601" w:hanging="340"/>
                    <w:jc w:val="left"/>
                  </w:pPr>
                  <w:r>
                    <w:rPr>
                      <w:color w:val="231F20"/>
                    </w:rPr>
                    <w:t>collaborated with the regional Violence Against Women, </w:t>
                  </w:r>
                  <w:r>
                    <w:rPr>
                      <w:color w:val="231F20"/>
                      <w:spacing w:val="-3"/>
                    </w:rPr>
                    <w:t>Domestic </w:t>
                  </w:r>
                  <w:r>
                    <w:rPr>
                      <w:color w:val="231F20"/>
                    </w:rPr>
                    <w:t>Abuse and Sexual Violence partnership to deliver a</w:t>
                  </w:r>
                  <w:r>
                    <w:rPr>
                      <w:color w:val="231F20"/>
                      <w:spacing w:val="-2"/>
                    </w:rPr>
                    <w:t> </w:t>
                  </w:r>
                  <w:r>
                    <w:rPr>
                      <w:color w:val="231F20"/>
                    </w:rPr>
                    <w:t>conference</w:t>
                  </w:r>
                </w:p>
                <w:p>
                  <w:pPr>
                    <w:pStyle w:val="BodyText"/>
                    <w:numPr>
                      <w:ilvl w:val="0"/>
                      <w:numId w:val="3"/>
                    </w:numPr>
                    <w:tabs>
                      <w:tab w:pos="700" w:val="left" w:leader="none"/>
                      <w:tab w:pos="701" w:val="left" w:leader="none"/>
                    </w:tabs>
                    <w:spacing w:line="240" w:lineRule="auto" w:before="105" w:after="0"/>
                    <w:ind w:left="700" w:right="0" w:hanging="341"/>
                    <w:jc w:val="left"/>
                  </w:pPr>
                  <w:r>
                    <w:rPr>
                      <w:color w:val="231F20"/>
                    </w:rPr>
                    <w:t>produced the Boards’ strategic</w:t>
                  </w:r>
                  <w:r>
                    <w:rPr>
                      <w:color w:val="231F20"/>
                      <w:spacing w:val="-1"/>
                    </w:rPr>
                    <w:t> </w:t>
                  </w:r>
                  <w:r>
                    <w:rPr>
                      <w:color w:val="231F20"/>
                    </w:rPr>
                    <w:t>plan</w:t>
                  </w:r>
                </w:p>
                <w:p>
                  <w:pPr>
                    <w:pStyle w:val="BodyText"/>
                    <w:numPr>
                      <w:ilvl w:val="0"/>
                      <w:numId w:val="3"/>
                    </w:numPr>
                    <w:tabs>
                      <w:tab w:pos="700" w:val="left" w:leader="none"/>
                      <w:tab w:pos="701" w:val="left" w:leader="none"/>
                    </w:tabs>
                    <w:spacing w:line="240" w:lineRule="auto" w:before="102" w:after="0"/>
                    <w:ind w:left="700" w:right="0" w:hanging="341"/>
                    <w:jc w:val="left"/>
                  </w:pPr>
                  <w:r>
                    <w:rPr>
                      <w:color w:val="231F20"/>
                    </w:rPr>
                    <w:t>disseminated learning from Practice</w:t>
                  </w:r>
                  <w:r>
                    <w:rPr>
                      <w:color w:val="231F20"/>
                      <w:spacing w:val="-1"/>
                    </w:rPr>
                    <w:t> </w:t>
                  </w:r>
                  <w:r>
                    <w:rPr>
                      <w:color w:val="231F20"/>
                    </w:rPr>
                    <w:t>Reviews</w:t>
                  </w:r>
                </w:p>
                <w:p>
                  <w:pPr>
                    <w:pStyle w:val="BodyText"/>
                    <w:numPr>
                      <w:ilvl w:val="0"/>
                      <w:numId w:val="3"/>
                    </w:numPr>
                    <w:tabs>
                      <w:tab w:pos="700" w:val="left" w:leader="none"/>
                      <w:tab w:pos="701" w:val="left" w:leader="none"/>
                    </w:tabs>
                    <w:spacing w:line="230" w:lineRule="auto" w:before="110" w:after="0"/>
                    <w:ind w:left="700" w:right="944" w:hanging="340"/>
                    <w:jc w:val="left"/>
                  </w:pPr>
                  <w:r>
                    <w:rPr>
                      <w:color w:val="231F20"/>
                    </w:rPr>
                    <w:t>produced media clips about safeguarding and Board </w:t>
                  </w:r>
                  <w:r>
                    <w:rPr>
                      <w:color w:val="231F20"/>
                      <w:spacing w:val="-4"/>
                    </w:rPr>
                    <w:t>approved </w:t>
                  </w:r>
                  <w:r>
                    <w:rPr>
                      <w:color w:val="231F20"/>
                    </w:rPr>
                    <w:t>training packages</w:t>
                  </w:r>
                </w:p>
                <w:p>
                  <w:pPr>
                    <w:pStyle w:val="BodyText"/>
                    <w:numPr>
                      <w:ilvl w:val="0"/>
                      <w:numId w:val="3"/>
                    </w:numPr>
                    <w:tabs>
                      <w:tab w:pos="700" w:val="left" w:leader="none"/>
                      <w:tab w:pos="701" w:val="left" w:leader="none"/>
                    </w:tabs>
                    <w:spacing w:line="230" w:lineRule="auto" w:before="114" w:after="0"/>
                    <w:ind w:left="700" w:right="520" w:hanging="340"/>
                    <w:jc w:val="left"/>
                  </w:pPr>
                  <w:r>
                    <w:rPr>
                      <w:color w:val="231F20"/>
                    </w:rPr>
                    <w:t>co-opted a member of Gwent </w:t>
                  </w:r>
                  <w:r>
                    <w:rPr>
                      <w:color w:val="231F20"/>
                      <w:spacing w:val="-3"/>
                    </w:rPr>
                    <w:t>Citizen’s </w:t>
                  </w:r>
                  <w:r>
                    <w:rPr>
                      <w:color w:val="231F20"/>
                    </w:rPr>
                    <w:t>Panel onto the Engagement and Communication</w:t>
                  </w:r>
                  <w:r>
                    <w:rPr>
                      <w:color w:val="231F20"/>
                      <w:spacing w:val="-1"/>
                    </w:rPr>
                    <w:t> </w:t>
                  </w:r>
                  <w:r>
                    <w:rPr>
                      <w:color w:val="231F20"/>
                    </w:rPr>
                    <w:t>Group</w:t>
                  </w:r>
                </w:p>
                <w:p>
                  <w:pPr>
                    <w:pStyle w:val="BodyText"/>
                    <w:numPr>
                      <w:ilvl w:val="0"/>
                      <w:numId w:val="3"/>
                    </w:numPr>
                    <w:tabs>
                      <w:tab w:pos="700" w:val="left" w:leader="none"/>
                      <w:tab w:pos="701" w:val="left" w:leader="none"/>
                    </w:tabs>
                    <w:spacing w:line="240" w:lineRule="auto" w:before="105" w:after="0"/>
                    <w:ind w:left="700" w:right="0" w:hanging="341"/>
                    <w:jc w:val="left"/>
                  </w:pPr>
                  <w:r>
                    <w:rPr>
                      <w:color w:val="231F20"/>
                    </w:rPr>
                    <w:t>streamlined the Domestic Homicide Process across</w:t>
                  </w:r>
                  <w:r>
                    <w:rPr>
                      <w:color w:val="231F20"/>
                      <w:spacing w:val="-3"/>
                    </w:rPr>
                    <w:t> </w:t>
                  </w:r>
                  <w:r>
                    <w:rPr>
                      <w:color w:val="231F20"/>
                    </w:rPr>
                    <w:t>Gwent</w:t>
                  </w:r>
                </w:p>
                <w:p>
                  <w:pPr>
                    <w:pStyle w:val="BodyText"/>
                    <w:numPr>
                      <w:ilvl w:val="0"/>
                      <w:numId w:val="3"/>
                    </w:numPr>
                    <w:tabs>
                      <w:tab w:pos="700" w:val="left" w:leader="none"/>
                      <w:tab w:pos="701" w:val="left" w:leader="none"/>
                    </w:tabs>
                    <w:spacing w:line="286" w:lineRule="exact" w:before="102" w:after="0"/>
                    <w:ind w:left="700" w:right="0" w:hanging="341"/>
                    <w:jc w:val="left"/>
                  </w:pPr>
                  <w:r>
                    <w:rPr>
                      <w:color w:val="231F20"/>
                    </w:rPr>
                    <w:t>shares information across all safeguarding agendas at</w:t>
                  </w:r>
                  <w:r>
                    <w:rPr>
                      <w:color w:val="231F20"/>
                      <w:spacing w:val="-3"/>
                    </w:rPr>
                    <w:t> </w:t>
                  </w:r>
                  <w:r>
                    <w:rPr>
                      <w:color w:val="231F20"/>
                    </w:rPr>
                    <w:t>Local</w:t>
                  </w:r>
                </w:p>
                <w:p>
                  <w:pPr>
                    <w:pStyle w:val="BodyText"/>
                    <w:spacing w:line="286" w:lineRule="exact"/>
                    <w:ind w:left="700"/>
                  </w:pPr>
                  <w:r>
                    <w:rPr>
                      <w:color w:val="231F20"/>
                    </w:rPr>
                    <w:t>Safeguarding Network meetings and practitioner forum events</w:t>
                  </w:r>
                </w:p>
                <w:p>
                  <w:pPr>
                    <w:pStyle w:val="BodyText"/>
                    <w:numPr>
                      <w:ilvl w:val="0"/>
                      <w:numId w:val="3"/>
                    </w:numPr>
                    <w:tabs>
                      <w:tab w:pos="700" w:val="left" w:leader="none"/>
                      <w:tab w:pos="701" w:val="left" w:leader="none"/>
                    </w:tabs>
                    <w:spacing w:line="240" w:lineRule="auto" w:before="102" w:after="0"/>
                    <w:ind w:left="700" w:right="0" w:hanging="341"/>
                    <w:jc w:val="left"/>
                  </w:pPr>
                  <w:r>
                    <w:rPr>
                      <w:color w:val="231F20"/>
                    </w:rPr>
                    <w:t>has developed a joint Quality Assurance Framework for both</w:t>
                  </w:r>
                  <w:r>
                    <w:rPr>
                      <w:color w:val="231F20"/>
                      <w:spacing w:val="-3"/>
                    </w:rPr>
                    <w:t> </w:t>
                  </w:r>
                  <w:r>
                    <w:rPr>
                      <w:color w:val="231F20"/>
                    </w:rPr>
                    <w:t>Boards</w:t>
                  </w:r>
                </w:p>
                <w:p>
                  <w:pPr>
                    <w:pStyle w:val="BodyText"/>
                    <w:numPr>
                      <w:ilvl w:val="0"/>
                      <w:numId w:val="3"/>
                    </w:numPr>
                    <w:tabs>
                      <w:tab w:pos="700" w:val="left" w:leader="none"/>
                      <w:tab w:pos="701" w:val="left" w:leader="none"/>
                    </w:tabs>
                    <w:spacing w:line="230" w:lineRule="auto" w:before="110" w:after="0"/>
                    <w:ind w:left="700" w:right="762" w:hanging="340"/>
                    <w:jc w:val="left"/>
                  </w:pPr>
                  <w:r>
                    <w:rPr>
                      <w:color w:val="231F20"/>
                    </w:rPr>
                    <w:t>is being advised by front line practitioners and services users </w:t>
                  </w:r>
                  <w:r>
                    <w:rPr>
                      <w:color w:val="231F20"/>
                      <w:spacing w:val="-6"/>
                    </w:rPr>
                    <w:t>and </w:t>
                  </w:r>
                  <w:r>
                    <w:rPr>
                      <w:color w:val="231F20"/>
                    </w:rPr>
                    <w:t>families</w:t>
                  </w:r>
                </w:p>
              </w:txbxContent>
            </v:textbox>
            <v:stroke dashstyle="solid"/>
            <w10:wrap type="topAndBottom"/>
          </v:shape>
        </w:pict>
      </w:r>
    </w:p>
    <w:p>
      <w:pPr>
        <w:spacing w:after="0"/>
        <w:rPr>
          <w:sz w:val="11"/>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70496" filled="true" fillcolor="#3b957d" stroked="false">
            <v:fill type="solid"/>
            <w10:wrap type="none"/>
          </v:rect>
        </w:pict>
      </w:r>
      <w:r>
        <w:rPr/>
        <w:pict>
          <v:group style="position:absolute;margin-left:66.167999pt;margin-top:88.258011pt;width:511.2pt;height:719.65pt;mso-position-horizontal-relative:page;mso-position-vertical-relative:page;z-index:-17769984" coordorigin="1323,1765" coordsize="10224,14393">
            <v:shape style="position:absolute;left:1323;top:1765;width:10224;height:14393" coordorigin="1323,1765" coordsize="10224,14393" path="m11547,1765l1323,1765,1323,15803,1323,16158,11547,16158,11547,15803,11547,1765xe" filled="true" fillcolor="#231f20" stroked="false">
              <v:path arrowok="t"/>
              <v:fill opacity="13107f" type="solid"/>
            </v:shape>
            <v:shape style="position:absolute;left:1460;top:1899;width:9572;height:13726" coordorigin="1460,1900" coordsize="9572,13726" path="m10197,2670l10173,2670,10173,2694,10173,14838,2337,14838,2337,2694,10173,2694,10173,2670,2313,2670,2313,2694,2313,14838,2313,14862,10197,14862,10197,14838,10197,14838,10197,2694,10197,2693,10197,2670xm11032,1924l11008,1924,11008,15601,11032,15601,11032,1924xm11032,1900l1460,1900,1460,1924,1460,15602,1460,15626,11032,15626,11032,15602,1484,15602,1484,1924,11032,1924,11032,1900xe" filled="true" fillcolor="#e5bc75" stroked="false">
              <v:path arrowok="t"/>
              <v:fill opacity="32768f" type="solid"/>
            </v:shape>
            <v:shape style="position:absolute;left:10298;top:1970;width:632;height:13579" type="#_x0000_t75" stroked="false">
              <v:imagedata r:id="rId30" o:title=""/>
            </v:shape>
            <v:shape style="position:absolute;left:1603;top:1970;width:632;height:13579" type="#_x0000_t75" stroked="false">
              <v:imagedata r:id="rId31" o:title=""/>
            </v:shape>
            <v:shape style="position:absolute;left:2360;top:1970;width:7825;height:632" type="#_x0000_t75" stroked="false">
              <v:imagedata r:id="rId32" o:title=""/>
            </v:shape>
            <v:shape style="position:absolute;left:2360;top:14918;width:7825;height:632" type="#_x0000_t75" stroked="false">
              <v:imagedata r:id="rId33" o:title=""/>
            </v:shape>
            <w10:wrap type="none"/>
          </v:group>
        </w:pict>
      </w:r>
    </w:p>
    <w:p>
      <w:pPr>
        <w:pStyle w:val="BodyText"/>
        <w:spacing w:before="6"/>
      </w:pPr>
    </w:p>
    <w:p>
      <w:pPr>
        <w:tabs>
          <w:tab w:pos="7398" w:val="left" w:leader="none"/>
        </w:tabs>
        <w:spacing w:before="100"/>
        <w:ind w:left="927" w:right="0" w:firstLine="0"/>
        <w:jc w:val="left"/>
        <w:rPr>
          <w:sz w:val="16"/>
        </w:rPr>
      </w:pPr>
      <w:r>
        <w:rPr>
          <w:color w:val="231F20"/>
          <w:sz w:val="16"/>
        </w:rPr>
        <w:t>26</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00"/>
        <w:ind w:left="1550" w:right="744" w:firstLine="0"/>
        <w:jc w:val="center"/>
        <w:rPr>
          <w:rFonts w:ascii="Avenir"/>
          <w:b/>
          <w:sz w:val="36"/>
        </w:rPr>
      </w:pPr>
      <w:r>
        <w:rPr/>
        <w:pict>
          <v:shape style="position:absolute;margin-left:7.0315pt;margin-top:4.207418pt;width:15.7pt;height:477.8pt;mso-position-horizontal-relative:page;mso-position-vertical-relative:paragraph;z-index:15807488"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rFonts w:ascii="Avenir"/>
          <w:b/>
          <w:color w:val="231F20"/>
          <w:sz w:val="36"/>
        </w:rPr>
        <w:t>Mid and West Wales</w:t>
      </w:r>
    </w:p>
    <w:p>
      <w:pPr>
        <w:pStyle w:val="ListParagraph"/>
        <w:numPr>
          <w:ilvl w:val="0"/>
          <w:numId w:val="4"/>
        </w:numPr>
        <w:tabs>
          <w:tab w:pos="2730" w:val="left" w:leader="none"/>
          <w:tab w:pos="2731" w:val="left" w:leader="none"/>
        </w:tabs>
        <w:spacing w:line="230" w:lineRule="auto" w:before="221" w:after="0"/>
        <w:ind w:left="2730" w:right="1957" w:hanging="340"/>
        <w:jc w:val="left"/>
        <w:rPr>
          <w:sz w:val="22"/>
        </w:rPr>
      </w:pPr>
      <w:r>
        <w:rPr>
          <w:color w:val="231F20"/>
          <w:sz w:val="22"/>
        </w:rPr>
        <w:t>hosted an event during February 2018 for both Regional </w:t>
      </w:r>
      <w:r>
        <w:rPr>
          <w:color w:val="231F20"/>
          <w:spacing w:val="-4"/>
          <w:sz w:val="22"/>
        </w:rPr>
        <w:t>Boards, </w:t>
      </w:r>
      <w:r>
        <w:rPr>
          <w:color w:val="231F20"/>
          <w:sz w:val="22"/>
        </w:rPr>
        <w:t>which discussed the challenges concerning </w:t>
      </w:r>
      <w:r>
        <w:rPr>
          <w:color w:val="231F20"/>
          <w:spacing w:val="-3"/>
          <w:sz w:val="22"/>
        </w:rPr>
        <w:t>children’s </w:t>
      </w:r>
      <w:r>
        <w:rPr>
          <w:color w:val="231F20"/>
          <w:sz w:val="22"/>
        </w:rPr>
        <w:t>services in Powys with a view to preventing a</w:t>
      </w:r>
      <w:r>
        <w:rPr>
          <w:color w:val="231F20"/>
          <w:spacing w:val="-3"/>
          <w:sz w:val="22"/>
        </w:rPr>
        <w:t> </w:t>
      </w:r>
      <w:r>
        <w:rPr>
          <w:color w:val="231F20"/>
          <w:sz w:val="22"/>
        </w:rPr>
        <w:t>recurrence</w:t>
      </w:r>
    </w:p>
    <w:p>
      <w:pPr>
        <w:pStyle w:val="ListParagraph"/>
        <w:numPr>
          <w:ilvl w:val="0"/>
          <w:numId w:val="4"/>
        </w:numPr>
        <w:tabs>
          <w:tab w:pos="2730" w:val="left" w:leader="none"/>
          <w:tab w:pos="2731" w:val="left" w:leader="none"/>
        </w:tabs>
        <w:spacing w:line="230" w:lineRule="auto" w:before="113" w:after="0"/>
        <w:ind w:left="2730" w:right="1672" w:hanging="340"/>
        <w:jc w:val="left"/>
        <w:rPr>
          <w:sz w:val="22"/>
        </w:rPr>
      </w:pPr>
      <w:r>
        <w:rPr>
          <w:color w:val="231F20"/>
          <w:sz w:val="22"/>
        </w:rPr>
        <w:t>was prompted by the death of a home educated child to advocate for the introduction of legislation to better safeguard children who are electively home educated and ensure that the “small number </w:t>
      </w:r>
      <w:r>
        <w:rPr>
          <w:color w:val="231F20"/>
          <w:spacing w:val="-9"/>
          <w:sz w:val="22"/>
        </w:rPr>
        <w:t>of </w:t>
      </w:r>
      <w:r>
        <w:rPr>
          <w:color w:val="231F20"/>
          <w:sz w:val="22"/>
        </w:rPr>
        <w:t>unseen children” are</w:t>
      </w:r>
      <w:r>
        <w:rPr>
          <w:color w:val="231F20"/>
          <w:spacing w:val="-1"/>
          <w:sz w:val="22"/>
        </w:rPr>
        <w:t> </w:t>
      </w:r>
      <w:r>
        <w:rPr>
          <w:color w:val="231F20"/>
          <w:sz w:val="22"/>
        </w:rPr>
        <w:t>seen</w:t>
      </w:r>
    </w:p>
    <w:p>
      <w:pPr>
        <w:pStyle w:val="ListParagraph"/>
        <w:numPr>
          <w:ilvl w:val="0"/>
          <w:numId w:val="4"/>
        </w:numPr>
        <w:tabs>
          <w:tab w:pos="2730" w:val="left" w:leader="none"/>
          <w:tab w:pos="2731" w:val="left" w:leader="none"/>
        </w:tabs>
        <w:spacing w:line="230" w:lineRule="auto" w:before="114" w:after="0"/>
        <w:ind w:left="2730" w:right="1647" w:hanging="340"/>
        <w:jc w:val="left"/>
        <w:rPr>
          <w:sz w:val="22"/>
        </w:rPr>
      </w:pPr>
      <w:r>
        <w:rPr>
          <w:color w:val="231F20"/>
          <w:sz w:val="22"/>
        </w:rPr>
        <w:t>the death of a young person who was “Looked After” resulted in </w:t>
      </w:r>
      <w:r>
        <w:rPr>
          <w:color w:val="231F20"/>
          <w:spacing w:val="-9"/>
          <w:sz w:val="22"/>
        </w:rPr>
        <w:t>an </w:t>
      </w:r>
      <w:r>
        <w:rPr>
          <w:color w:val="231F20"/>
          <w:sz w:val="22"/>
        </w:rPr>
        <w:t>Extended Practice Review which highlighted the need to improve multi-agency care planning for care leavers. This young person and others resulted in the Board commissioning research from Cardiff University into the </w:t>
      </w:r>
      <w:r>
        <w:rPr>
          <w:color w:val="231F20"/>
          <w:spacing w:val="-4"/>
          <w:sz w:val="22"/>
        </w:rPr>
        <w:t>region’s </w:t>
      </w:r>
      <w:r>
        <w:rPr>
          <w:color w:val="231F20"/>
          <w:sz w:val="22"/>
        </w:rPr>
        <w:t>“probable suicides.” This resulted in dissemination events across the region and a concise report for practitioners was launched during National Safeguarding Week: “The importance of information being available to vulnerable children and young adults, their families and professionals as to where they can get help, and the importance of promoting positive mental well-being” is a valuable finding</w:t>
      </w:r>
    </w:p>
    <w:p>
      <w:pPr>
        <w:pStyle w:val="ListParagraph"/>
        <w:numPr>
          <w:ilvl w:val="0"/>
          <w:numId w:val="4"/>
        </w:numPr>
        <w:tabs>
          <w:tab w:pos="2730" w:val="left" w:leader="none"/>
          <w:tab w:pos="2731" w:val="left" w:leader="none"/>
        </w:tabs>
        <w:spacing w:line="230" w:lineRule="auto" w:before="116" w:after="0"/>
        <w:ind w:left="2730" w:right="1696" w:hanging="340"/>
        <w:jc w:val="left"/>
        <w:rPr>
          <w:sz w:val="22"/>
        </w:rPr>
      </w:pPr>
      <w:r>
        <w:rPr>
          <w:color w:val="231F20"/>
          <w:sz w:val="22"/>
        </w:rPr>
        <w:t>addressed the topic of online abuse and exploitation during National Safeguarding Week 2017. A conference supported by Dyfed Powys Police sought to raise awareness of methods of </w:t>
      </w:r>
      <w:r>
        <w:rPr>
          <w:color w:val="231F20"/>
          <w:spacing w:val="-4"/>
          <w:sz w:val="22"/>
        </w:rPr>
        <w:t>abuse </w:t>
      </w:r>
      <w:r>
        <w:rPr>
          <w:color w:val="231F20"/>
          <w:sz w:val="22"/>
        </w:rPr>
        <w:t>and exploitation of children and</w:t>
      </w:r>
      <w:r>
        <w:rPr>
          <w:color w:val="231F20"/>
          <w:spacing w:val="-1"/>
          <w:sz w:val="22"/>
        </w:rPr>
        <w:t> </w:t>
      </w:r>
      <w:r>
        <w:rPr>
          <w:color w:val="231F20"/>
          <w:sz w:val="22"/>
        </w:rPr>
        <w:t>adults</w:t>
      </w:r>
    </w:p>
    <w:p>
      <w:pPr>
        <w:pStyle w:val="ListParagraph"/>
        <w:numPr>
          <w:ilvl w:val="0"/>
          <w:numId w:val="4"/>
        </w:numPr>
        <w:tabs>
          <w:tab w:pos="2730" w:val="left" w:leader="none"/>
          <w:tab w:pos="2731" w:val="left" w:leader="none"/>
        </w:tabs>
        <w:spacing w:line="230" w:lineRule="auto" w:before="114" w:after="0"/>
        <w:ind w:left="2730" w:right="2269" w:hanging="340"/>
        <w:jc w:val="left"/>
        <w:rPr>
          <w:sz w:val="22"/>
        </w:rPr>
      </w:pPr>
      <w:r>
        <w:rPr>
          <w:color w:val="231F20"/>
          <w:sz w:val="22"/>
        </w:rPr>
        <w:t>prioritised connecting with young people via the Junior Safeguarding Board, </w:t>
      </w:r>
      <w:r>
        <w:rPr>
          <w:color w:val="231F20"/>
          <w:spacing w:val="-5"/>
          <w:sz w:val="22"/>
        </w:rPr>
        <w:t>Youth </w:t>
      </w:r>
      <w:r>
        <w:rPr>
          <w:color w:val="231F20"/>
          <w:sz w:val="22"/>
        </w:rPr>
        <w:t>Groups and </w:t>
      </w:r>
      <w:r>
        <w:rPr>
          <w:color w:val="231F20"/>
          <w:spacing w:val="-5"/>
          <w:sz w:val="22"/>
        </w:rPr>
        <w:t>Youth </w:t>
      </w:r>
      <w:r>
        <w:rPr>
          <w:color w:val="231F20"/>
          <w:sz w:val="22"/>
        </w:rPr>
        <w:t>Services – and learning about their priorities. Dyfed Powys Police carried </w:t>
      </w:r>
      <w:r>
        <w:rPr>
          <w:color w:val="231F20"/>
          <w:spacing w:val="-6"/>
          <w:sz w:val="22"/>
        </w:rPr>
        <w:t>out </w:t>
      </w:r>
      <w:r>
        <w:rPr>
          <w:color w:val="231F20"/>
          <w:sz w:val="22"/>
        </w:rPr>
        <w:t>a mental health awareness raising campaign and Hywel</w:t>
      </w:r>
      <w:r>
        <w:rPr>
          <w:color w:val="231F20"/>
          <w:spacing w:val="-4"/>
          <w:sz w:val="22"/>
        </w:rPr>
        <w:t> </w:t>
      </w:r>
      <w:r>
        <w:rPr>
          <w:color w:val="231F20"/>
          <w:sz w:val="22"/>
        </w:rPr>
        <w:t>Dda</w:t>
      </w:r>
    </w:p>
    <w:p>
      <w:pPr>
        <w:pStyle w:val="BodyText"/>
        <w:spacing w:line="278" w:lineRule="exact"/>
        <w:ind w:left="2730"/>
      </w:pPr>
      <w:r>
        <w:rPr>
          <w:color w:val="231F20"/>
        </w:rPr>
        <w:t>University Health Board worked with Hafan Cymru highlighting the</w:t>
      </w:r>
    </w:p>
    <w:p>
      <w:pPr>
        <w:pStyle w:val="BodyText"/>
        <w:spacing w:line="286" w:lineRule="exact"/>
        <w:ind w:left="2730"/>
      </w:pPr>
      <w:r>
        <w:rPr>
          <w:color w:val="231F20"/>
        </w:rPr>
        <w:t>impact of domestic abuse on children</w:t>
      </w:r>
    </w:p>
    <w:p>
      <w:pPr>
        <w:pStyle w:val="ListParagraph"/>
        <w:numPr>
          <w:ilvl w:val="0"/>
          <w:numId w:val="4"/>
        </w:numPr>
        <w:tabs>
          <w:tab w:pos="2730" w:val="left" w:leader="none"/>
          <w:tab w:pos="2731" w:val="left" w:leader="none"/>
        </w:tabs>
        <w:spacing w:line="230" w:lineRule="auto" w:before="110" w:after="0"/>
        <w:ind w:left="2730" w:right="1629" w:hanging="340"/>
        <w:jc w:val="left"/>
        <w:rPr>
          <w:sz w:val="22"/>
        </w:rPr>
      </w:pPr>
      <w:r>
        <w:rPr>
          <w:color w:val="231F20"/>
          <w:sz w:val="22"/>
        </w:rPr>
        <w:t>the success of activities over National Safeguarding Week was the impetus to extend the task of planning for the next safeguarding week corporately, within organisations, and externally with</w:t>
      </w:r>
      <w:r>
        <w:rPr>
          <w:color w:val="231F20"/>
          <w:spacing w:val="-36"/>
          <w:sz w:val="22"/>
        </w:rPr>
        <w:t> </w:t>
      </w:r>
      <w:r>
        <w:rPr>
          <w:color w:val="231F20"/>
          <w:sz w:val="22"/>
        </w:rPr>
        <w:t>specialist third sector</w:t>
      </w:r>
      <w:r>
        <w:rPr>
          <w:color w:val="231F20"/>
          <w:spacing w:val="-1"/>
          <w:sz w:val="22"/>
        </w:rPr>
        <w:t> </w:t>
      </w:r>
      <w:r>
        <w:rPr>
          <w:color w:val="231F20"/>
          <w:sz w:val="22"/>
        </w:rPr>
        <w:t>agencies.</w:t>
      </w:r>
    </w:p>
    <w:p>
      <w:pPr>
        <w:spacing w:after="0" w:line="230" w:lineRule="auto"/>
        <w:jc w:val="left"/>
        <w:rPr>
          <w:sz w:val="22"/>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08000" filled="true" fillcolor="#3b957d" stroked="false">
            <v:fill type="solid"/>
            <w10:wrap type="none"/>
          </v:rect>
        </w:pict>
      </w:r>
      <w:r>
        <w:rPr/>
        <w:pict>
          <v:shape style="position:absolute;margin-left:573.765198pt;margin-top:182.052719pt;width:15.7pt;height:477.8pt;mso-position-horizontal-relative:page;mso-position-vertical-relative:page;z-index:15809024"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27</w:t>
      </w:r>
    </w:p>
    <w:p>
      <w:pPr>
        <w:pStyle w:val="BodyText"/>
        <w:rPr>
          <w:sz w:val="48"/>
        </w:rPr>
      </w:pPr>
    </w:p>
    <w:p>
      <w:pPr>
        <w:pStyle w:val="BodyText"/>
        <w:rPr>
          <w:sz w:val="48"/>
        </w:rPr>
      </w:pPr>
    </w:p>
    <w:p>
      <w:pPr>
        <w:pStyle w:val="BodyText"/>
        <w:rPr>
          <w:sz w:val="48"/>
        </w:rPr>
      </w:pPr>
    </w:p>
    <w:p>
      <w:pPr>
        <w:pStyle w:val="BodyText"/>
        <w:spacing w:before="8"/>
        <w:rPr>
          <w:sz w:val="64"/>
        </w:rPr>
      </w:pPr>
    </w:p>
    <w:p>
      <w:pPr>
        <w:spacing w:before="0"/>
        <w:ind w:left="420" w:right="744" w:firstLine="0"/>
        <w:jc w:val="center"/>
        <w:rPr>
          <w:rFonts w:ascii="Avenir"/>
          <w:b/>
          <w:sz w:val="36"/>
        </w:rPr>
      </w:pPr>
      <w:r>
        <w:rPr/>
        <w:pict>
          <v:group style="position:absolute;margin-left:36.026001pt;margin-top:-94.587082pt;width:511.2pt;height:719.65pt;mso-position-horizontal-relative:page;mso-position-vertical-relative:paragraph;z-index:-17768448" coordorigin="721,-1892" coordsize="10224,14393">
            <v:shape style="position:absolute;left:720;top:-1892;width:10224;height:14393" coordorigin="721,-1892" coordsize="10224,14393" path="m10945,-1892l721,-1892,721,12146,721,12501,10945,12501,10945,12146,10945,-1892xe" filled="true" fillcolor="#231f20" stroked="false">
              <v:path arrowok="t"/>
              <v:fill opacity="13107f" type="solid"/>
            </v:shape>
            <v:shape style="position:absolute;left:857;top:-1758;width:9572;height:13726" coordorigin="858,-1757" coordsize="9572,13726" path="m9594,-987l9570,-987,9570,-963,9570,11181,1734,11181,1734,-963,9570,-963,9570,-987,1710,-987,1710,-963,1710,11181,1710,11205,9594,11205,9594,11181,9594,11181,9594,-963,9594,-964,9594,-987xm10429,-1733l10405,-1733,10405,11944,10429,11944,10429,-1733xm10429,-1757l858,-1757,858,-1733,858,11945,858,11969,10429,11969,10429,11945,881,11945,881,-1733,10429,-1733,10429,-1757xe" filled="true" fillcolor="#e5bc75" stroked="false">
              <v:path arrowok="t"/>
              <v:fill opacity="32768f" type="solid"/>
            </v:shape>
            <v:shape style="position:absolute;left:9695;top:-1687;width:632;height:13579" type="#_x0000_t75" stroked="false">
              <v:imagedata r:id="rId34" o:title=""/>
            </v:shape>
            <v:shape style="position:absolute;left:1000;top:-1687;width:632;height:13579" type="#_x0000_t75" stroked="false">
              <v:imagedata r:id="rId35" o:title=""/>
            </v:shape>
            <v:shape style="position:absolute;left:1757;top:-1687;width:7825;height:632" type="#_x0000_t75" stroked="false">
              <v:imagedata r:id="rId36" o:title=""/>
            </v:shape>
            <v:shape style="position:absolute;left:1757;top:11261;width:7825;height:632" type="#_x0000_t75" stroked="false">
              <v:imagedata r:id="rId37" o:title=""/>
            </v:shape>
            <w10:wrap type="none"/>
          </v:group>
        </w:pict>
      </w:r>
      <w:r>
        <w:rPr>
          <w:rFonts w:ascii="Avenir"/>
          <w:b/>
          <w:color w:val="231F20"/>
          <w:sz w:val="36"/>
        </w:rPr>
        <w:t>North Wales</w:t>
      </w:r>
    </w:p>
    <w:p>
      <w:pPr>
        <w:pStyle w:val="ListParagraph"/>
        <w:numPr>
          <w:ilvl w:val="0"/>
          <w:numId w:val="5"/>
        </w:numPr>
        <w:tabs>
          <w:tab w:pos="2163" w:val="left" w:leader="none"/>
          <w:tab w:pos="2164" w:val="left" w:leader="none"/>
        </w:tabs>
        <w:spacing w:line="230" w:lineRule="auto" w:before="221" w:after="0"/>
        <w:ind w:left="2163" w:right="2493" w:hanging="340"/>
        <w:jc w:val="left"/>
        <w:rPr>
          <w:sz w:val="22"/>
        </w:rPr>
      </w:pPr>
      <w:r>
        <w:rPr>
          <w:color w:val="231F20"/>
          <w:sz w:val="22"/>
        </w:rPr>
        <w:t>took action after three Adult Practice Reviews highlighted self- neglect. Practitioners with experience of working with people who self-neglected were invited to share their insights and </w:t>
      </w:r>
      <w:r>
        <w:rPr>
          <w:color w:val="231F20"/>
          <w:spacing w:val="-4"/>
          <w:sz w:val="22"/>
        </w:rPr>
        <w:t>shape </w:t>
      </w:r>
      <w:r>
        <w:rPr>
          <w:color w:val="231F20"/>
          <w:sz w:val="22"/>
        </w:rPr>
        <w:t>practice. A case study captures the resulting approach: a war veteran with a head </w:t>
      </w:r>
      <w:r>
        <w:rPr>
          <w:color w:val="231F20"/>
          <w:spacing w:val="-3"/>
          <w:sz w:val="22"/>
        </w:rPr>
        <w:t>injury, epilepsy, </w:t>
      </w:r>
      <w:r>
        <w:rPr>
          <w:color w:val="231F20"/>
          <w:sz w:val="22"/>
        </w:rPr>
        <w:t>mobility problems, post- traumatic stress </w:t>
      </w:r>
      <w:r>
        <w:rPr>
          <w:color w:val="231F20"/>
          <w:spacing w:val="-3"/>
          <w:sz w:val="22"/>
        </w:rPr>
        <w:t>disorder, </w:t>
      </w:r>
      <w:r>
        <w:rPr>
          <w:color w:val="231F20"/>
          <w:sz w:val="22"/>
        </w:rPr>
        <w:t>who was misusing alcohol</w:t>
      </w:r>
      <w:r>
        <w:rPr>
          <w:color w:val="231F20"/>
          <w:spacing w:val="2"/>
          <w:sz w:val="22"/>
        </w:rPr>
        <w:t> </w:t>
      </w:r>
      <w:r>
        <w:rPr>
          <w:color w:val="231F20"/>
          <w:sz w:val="22"/>
        </w:rPr>
        <w:t>declined</w:t>
      </w:r>
    </w:p>
    <w:p>
      <w:pPr>
        <w:pStyle w:val="BodyText"/>
        <w:spacing w:line="230" w:lineRule="auto" w:before="1"/>
        <w:ind w:left="2163" w:right="2392"/>
      </w:pPr>
      <w:r>
        <w:rPr>
          <w:color w:val="231F20"/>
        </w:rPr>
        <w:t>to accept any continuous support, even though he had been supported through “many” crises. A social worker encouraged him to accept help. Telecare was installed and he accepted daily</w:t>
      </w:r>
    </w:p>
    <w:p>
      <w:pPr>
        <w:pStyle w:val="BodyText"/>
        <w:spacing w:line="230" w:lineRule="auto"/>
        <w:ind w:left="2163" w:right="1972"/>
      </w:pPr>
      <w:r>
        <w:rPr>
          <w:color w:val="231F20"/>
        </w:rPr>
        <w:t>support calls to assist with meal preparation and prompts to take his medication. He agreed to being referred to the substance misuse service.</w:t>
      </w:r>
    </w:p>
    <w:p>
      <w:pPr>
        <w:pStyle w:val="ListParagraph"/>
        <w:numPr>
          <w:ilvl w:val="0"/>
          <w:numId w:val="5"/>
        </w:numPr>
        <w:tabs>
          <w:tab w:pos="2163" w:val="left" w:leader="none"/>
          <w:tab w:pos="2164" w:val="left" w:leader="none"/>
        </w:tabs>
        <w:spacing w:line="230" w:lineRule="auto" w:before="114" w:after="0"/>
        <w:ind w:left="2163" w:right="2185" w:hanging="340"/>
        <w:jc w:val="left"/>
        <w:rPr>
          <w:sz w:val="22"/>
        </w:rPr>
      </w:pPr>
      <w:r>
        <w:rPr>
          <w:color w:val="231F20"/>
          <w:sz w:val="22"/>
        </w:rPr>
        <w:t>a regional approach to improving the detection of child sexual exploitation (CSE) and the interventions necessary has been </w:t>
      </w:r>
      <w:r>
        <w:rPr>
          <w:color w:val="231F20"/>
          <w:spacing w:val="-4"/>
          <w:sz w:val="22"/>
        </w:rPr>
        <w:t>agreed. </w:t>
      </w:r>
      <w:r>
        <w:rPr>
          <w:color w:val="231F20"/>
          <w:sz w:val="22"/>
        </w:rPr>
        <w:t>It appointed the </w:t>
      </w:r>
      <w:r>
        <w:rPr>
          <w:color w:val="231F20"/>
          <w:spacing w:val="-4"/>
          <w:sz w:val="22"/>
        </w:rPr>
        <w:t>NSPCC’s </w:t>
      </w:r>
      <w:r>
        <w:rPr>
          <w:color w:val="231F20"/>
          <w:sz w:val="22"/>
        </w:rPr>
        <w:t>CSE worker as a “critical friend” to its work</w:t>
      </w:r>
      <w:r>
        <w:rPr>
          <w:color w:val="231F20"/>
          <w:spacing w:val="-1"/>
          <w:sz w:val="22"/>
        </w:rPr>
        <w:t> </w:t>
      </w:r>
      <w:r>
        <w:rPr>
          <w:color w:val="231F20"/>
          <w:sz w:val="22"/>
        </w:rPr>
        <w:t>programme</w:t>
      </w:r>
    </w:p>
    <w:p>
      <w:pPr>
        <w:pStyle w:val="ListParagraph"/>
        <w:numPr>
          <w:ilvl w:val="0"/>
          <w:numId w:val="5"/>
        </w:numPr>
        <w:tabs>
          <w:tab w:pos="2163" w:val="left" w:leader="none"/>
          <w:tab w:pos="2164" w:val="left" w:leader="none"/>
        </w:tabs>
        <w:spacing w:line="230" w:lineRule="auto" w:before="114" w:after="0"/>
        <w:ind w:left="2163" w:right="2162" w:hanging="340"/>
        <w:jc w:val="left"/>
        <w:rPr>
          <w:sz w:val="22"/>
        </w:rPr>
      </w:pPr>
      <w:r>
        <w:rPr>
          <w:color w:val="231F20"/>
          <w:sz w:val="22"/>
        </w:rPr>
        <w:t>a case study highlighted the circumstances of a girl with poor </w:t>
      </w:r>
      <w:r>
        <w:rPr>
          <w:color w:val="231F20"/>
          <w:spacing w:val="-3"/>
          <w:sz w:val="22"/>
        </w:rPr>
        <w:t>school </w:t>
      </w:r>
      <w:r>
        <w:rPr>
          <w:color w:val="231F20"/>
          <w:sz w:val="22"/>
        </w:rPr>
        <w:t>attendance whose experience of being parented was</w:t>
      </w:r>
      <w:r>
        <w:rPr>
          <w:color w:val="231F20"/>
          <w:spacing w:val="-3"/>
          <w:sz w:val="22"/>
        </w:rPr>
        <w:t> </w:t>
      </w:r>
      <w:r>
        <w:rPr>
          <w:color w:val="231F20"/>
          <w:sz w:val="22"/>
        </w:rPr>
        <w:t>inconsistent.</w:t>
      </w:r>
    </w:p>
    <w:p>
      <w:pPr>
        <w:pStyle w:val="BodyText"/>
        <w:spacing w:line="230" w:lineRule="auto"/>
        <w:ind w:left="2163" w:right="1972"/>
      </w:pPr>
      <w:r>
        <w:rPr>
          <w:color w:val="231F20"/>
        </w:rPr>
        <w:t>A social worker worked with the girl and her parents to ensure that they knew the signs of drug use. North Wales Police put in place</w:t>
      </w:r>
    </w:p>
    <w:p>
      <w:pPr>
        <w:pStyle w:val="BodyText"/>
        <w:spacing w:line="230" w:lineRule="auto" w:before="1"/>
        <w:ind w:left="2163" w:right="1972"/>
      </w:pPr>
      <w:r>
        <w:rPr>
          <w:color w:val="231F20"/>
        </w:rPr>
        <w:t>a Child Abduction Warning Notice because of the influence of an older man who was the child’s supplier. Both Boards’ case studies highlight the critical role of professional, trusting relationships, and “persistent and consistent” practice.</w:t>
      </w:r>
    </w:p>
    <w:p>
      <w:pPr>
        <w:spacing w:after="0" w:line="230" w:lineRule="auto"/>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67424" filled="true" fillcolor="#3b957d" stroked="false">
            <v:fill type="solid"/>
            <w10:wrap type="none"/>
          </v:rect>
        </w:pict>
      </w:r>
      <w:r>
        <w:rPr/>
        <w:pict>
          <v:group style="position:absolute;margin-left:66.167999pt;margin-top:88.258011pt;width:511.2pt;height:719.65pt;mso-position-horizontal-relative:page;mso-position-vertical-relative:page;z-index:-17766912" coordorigin="1323,1765" coordsize="10224,14393">
            <v:shape style="position:absolute;left:1323;top:1765;width:10224;height:14393" coordorigin="1323,1765" coordsize="10224,14393" path="m11547,1765l1323,1765,1323,15803,1323,16158,11547,16158,11547,15803,11547,1765xe" filled="true" fillcolor="#231f20" stroked="false">
              <v:path arrowok="t"/>
              <v:fill opacity="13107f" type="solid"/>
            </v:shape>
            <v:shape style="position:absolute;left:1460;top:1899;width:9572;height:13726" coordorigin="1460,1900" coordsize="9572,13726" path="m10197,2670l10173,2670,10173,2694,10173,14838,2337,14838,2337,2694,10173,2694,10173,2670,2313,2670,2313,2694,2313,14838,2313,14862,10197,14862,10197,14838,10197,14838,10197,2694,10197,2693,10197,2670xm11032,1924l11008,1924,11008,15601,11032,15601,11032,1924xm11032,1900l1460,1900,1460,1924,1460,15602,1460,15626,11032,15626,11032,15602,1484,15602,1484,1924,11032,1924,11032,1900xe" filled="true" fillcolor="#e5bc75" stroked="false">
              <v:path arrowok="t"/>
              <v:fill opacity="32768f" type="solid"/>
            </v:shape>
            <v:shape style="position:absolute;left:10298;top:1970;width:632;height:13579" type="#_x0000_t75" stroked="false">
              <v:imagedata r:id="rId38" o:title=""/>
            </v:shape>
            <v:shape style="position:absolute;left:1603;top:1970;width:632;height:13579" type="#_x0000_t75" stroked="false">
              <v:imagedata r:id="rId39" o:title=""/>
            </v:shape>
            <v:shape style="position:absolute;left:2360;top:1970;width:7825;height:632" type="#_x0000_t75" stroked="false">
              <v:imagedata r:id="rId40" o:title=""/>
            </v:shape>
            <v:shape style="position:absolute;left:2360;top:14918;width:7825;height:632" type="#_x0000_t75" stroked="false">
              <v:imagedata r:id="rId41" o:title=""/>
            </v:shape>
            <w10:wrap type="none"/>
          </v:group>
        </w:pict>
      </w:r>
    </w:p>
    <w:p>
      <w:pPr>
        <w:pStyle w:val="BodyText"/>
        <w:spacing w:before="6"/>
      </w:pPr>
    </w:p>
    <w:p>
      <w:pPr>
        <w:tabs>
          <w:tab w:pos="7398" w:val="left" w:leader="none"/>
        </w:tabs>
        <w:spacing w:before="100"/>
        <w:ind w:left="927" w:right="0" w:firstLine="0"/>
        <w:jc w:val="left"/>
        <w:rPr>
          <w:sz w:val="16"/>
        </w:rPr>
      </w:pPr>
      <w:r>
        <w:rPr>
          <w:color w:val="231F20"/>
          <w:sz w:val="16"/>
        </w:rPr>
        <w:t>28</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100"/>
        <w:ind w:left="1550" w:right="744" w:firstLine="0"/>
        <w:jc w:val="center"/>
        <w:rPr>
          <w:rFonts w:ascii="Avenir"/>
          <w:b/>
          <w:sz w:val="36"/>
        </w:rPr>
      </w:pPr>
      <w:r>
        <w:rPr/>
        <w:pict>
          <v:shape style="position:absolute;margin-left:7.0315pt;margin-top:-48.464516pt;width:15.7pt;height:477.8pt;mso-position-horizontal-relative:page;mso-position-vertical-relative:paragraph;z-index:-17766400"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rFonts w:ascii="Avenir"/>
          <w:b/>
          <w:color w:val="231F20"/>
          <w:sz w:val="36"/>
        </w:rPr>
        <w:t>Western Bay</w:t>
      </w:r>
    </w:p>
    <w:p>
      <w:pPr>
        <w:pStyle w:val="ListParagraph"/>
        <w:numPr>
          <w:ilvl w:val="0"/>
          <w:numId w:val="6"/>
        </w:numPr>
        <w:tabs>
          <w:tab w:pos="2730" w:val="left" w:leader="none"/>
          <w:tab w:pos="2731" w:val="left" w:leader="none"/>
        </w:tabs>
        <w:spacing w:line="230" w:lineRule="auto" w:before="220" w:after="0"/>
        <w:ind w:left="2730" w:right="1660" w:hanging="340"/>
        <w:jc w:val="left"/>
        <w:rPr>
          <w:sz w:val="22"/>
        </w:rPr>
      </w:pPr>
      <w:r>
        <w:rPr>
          <w:color w:val="231F20"/>
          <w:sz w:val="22"/>
        </w:rPr>
        <w:t>has learned from the lessons identified through a review of [clinical] investigations which took place within the Health Board. These arose from a safeguarding referral and investigation by South </w:t>
      </w:r>
      <w:r>
        <w:rPr>
          <w:color w:val="231F20"/>
          <w:spacing w:val="-6"/>
          <w:sz w:val="22"/>
        </w:rPr>
        <w:t>Wales </w:t>
      </w:r>
      <w:r>
        <w:rPr>
          <w:color w:val="231F20"/>
          <w:sz w:val="22"/>
        </w:rPr>
        <w:t>Police, a judicial process and the referral of a number of nurses to the Nursing and Midwifery Council</w:t>
      </w:r>
    </w:p>
    <w:p>
      <w:pPr>
        <w:pStyle w:val="ListParagraph"/>
        <w:numPr>
          <w:ilvl w:val="0"/>
          <w:numId w:val="6"/>
        </w:numPr>
        <w:tabs>
          <w:tab w:pos="2730" w:val="left" w:leader="none"/>
          <w:tab w:pos="2731" w:val="left" w:leader="none"/>
        </w:tabs>
        <w:spacing w:line="230" w:lineRule="auto" w:before="114" w:after="0"/>
        <w:ind w:left="2730" w:right="1905" w:hanging="340"/>
        <w:jc w:val="left"/>
        <w:rPr>
          <w:sz w:val="22"/>
        </w:rPr>
      </w:pPr>
      <w:r>
        <w:rPr>
          <w:color w:val="231F20"/>
          <w:sz w:val="22"/>
        </w:rPr>
        <w:t>has developed a partnership reporting framework to allow the Community Safety Partnerships to share information and </w:t>
      </w:r>
      <w:r>
        <w:rPr>
          <w:color w:val="231F20"/>
          <w:spacing w:val="-3"/>
          <w:sz w:val="22"/>
        </w:rPr>
        <w:t>updates </w:t>
      </w:r>
      <w:r>
        <w:rPr>
          <w:color w:val="231F20"/>
          <w:sz w:val="22"/>
        </w:rPr>
        <w:t>regarding Domestic Homicide</w:t>
      </w:r>
      <w:r>
        <w:rPr>
          <w:color w:val="231F20"/>
          <w:spacing w:val="-1"/>
          <w:sz w:val="22"/>
        </w:rPr>
        <w:t> </w:t>
      </w:r>
      <w:r>
        <w:rPr>
          <w:color w:val="231F20"/>
          <w:sz w:val="22"/>
        </w:rPr>
        <w:t>Reviews</w:t>
      </w:r>
    </w:p>
    <w:p>
      <w:pPr>
        <w:pStyle w:val="ListParagraph"/>
        <w:numPr>
          <w:ilvl w:val="0"/>
          <w:numId w:val="6"/>
        </w:numPr>
        <w:tabs>
          <w:tab w:pos="2730" w:val="left" w:leader="none"/>
          <w:tab w:pos="2731" w:val="left" w:leader="none"/>
        </w:tabs>
        <w:spacing w:line="230" w:lineRule="auto" w:before="114" w:after="0"/>
        <w:ind w:left="2730" w:right="1595" w:hanging="340"/>
        <w:jc w:val="left"/>
        <w:rPr>
          <w:sz w:val="22"/>
        </w:rPr>
      </w:pPr>
      <w:r>
        <w:rPr>
          <w:color w:val="231F20"/>
          <w:sz w:val="22"/>
        </w:rPr>
        <w:t>the significant cost associated with the medical interventions for Deprivation of Liberty Safeguards assessments has been</w:t>
      </w:r>
      <w:r>
        <w:rPr>
          <w:color w:val="231F20"/>
          <w:spacing w:val="-21"/>
          <w:sz w:val="22"/>
        </w:rPr>
        <w:t> </w:t>
      </w:r>
      <w:r>
        <w:rPr>
          <w:color w:val="231F20"/>
          <w:sz w:val="22"/>
        </w:rPr>
        <w:t>highlighted</w:t>
      </w:r>
    </w:p>
    <w:p>
      <w:pPr>
        <w:pStyle w:val="ListParagraph"/>
        <w:numPr>
          <w:ilvl w:val="0"/>
          <w:numId w:val="6"/>
        </w:numPr>
        <w:tabs>
          <w:tab w:pos="2730" w:val="left" w:leader="none"/>
          <w:tab w:pos="2731" w:val="left" w:leader="none"/>
        </w:tabs>
        <w:spacing w:line="230" w:lineRule="auto" w:before="114" w:after="0"/>
        <w:ind w:left="2730" w:right="1656" w:hanging="340"/>
        <w:jc w:val="left"/>
        <w:rPr>
          <w:sz w:val="22"/>
        </w:rPr>
      </w:pPr>
      <w:r>
        <w:rPr>
          <w:color w:val="231F20"/>
          <w:sz w:val="22"/>
        </w:rPr>
        <w:t>the two “prisons, a young offenders institute and a </w:t>
      </w:r>
      <w:r>
        <w:rPr>
          <w:color w:val="231F20"/>
          <w:spacing w:val="-3"/>
          <w:sz w:val="22"/>
        </w:rPr>
        <w:t>children’s </w:t>
      </w:r>
      <w:r>
        <w:rPr>
          <w:color w:val="231F20"/>
          <w:spacing w:val="-4"/>
          <w:sz w:val="22"/>
        </w:rPr>
        <w:t>secure </w:t>
      </w:r>
      <w:r>
        <w:rPr>
          <w:color w:val="231F20"/>
          <w:sz w:val="22"/>
        </w:rPr>
        <w:t>home are in Western Bay so Governors from Parc Prison and HMP Swansea are Board</w:t>
      </w:r>
      <w:r>
        <w:rPr>
          <w:color w:val="231F20"/>
          <w:spacing w:val="-1"/>
          <w:sz w:val="22"/>
        </w:rPr>
        <w:t> </w:t>
      </w:r>
      <w:r>
        <w:rPr>
          <w:color w:val="231F20"/>
          <w:sz w:val="22"/>
        </w:rPr>
        <w:t>members</w:t>
      </w:r>
    </w:p>
    <w:p>
      <w:pPr>
        <w:pStyle w:val="ListParagraph"/>
        <w:numPr>
          <w:ilvl w:val="0"/>
          <w:numId w:val="6"/>
        </w:numPr>
        <w:tabs>
          <w:tab w:pos="2731" w:val="left" w:leader="none"/>
        </w:tabs>
        <w:spacing w:line="230" w:lineRule="auto" w:before="114" w:after="0"/>
        <w:ind w:left="2730" w:right="1581" w:hanging="340"/>
        <w:jc w:val="both"/>
        <w:rPr>
          <w:sz w:val="22"/>
        </w:rPr>
      </w:pPr>
      <w:r>
        <w:rPr>
          <w:color w:val="231F20"/>
          <w:sz w:val="22"/>
        </w:rPr>
        <w:t>a reduction in the overnight detention of children and young people at police stations has been achieved by cooperating with local </w:t>
      </w:r>
      <w:r>
        <w:rPr>
          <w:color w:val="231F20"/>
          <w:spacing w:val="-3"/>
          <w:sz w:val="22"/>
        </w:rPr>
        <w:t>foster </w:t>
      </w:r>
      <w:r>
        <w:rPr>
          <w:color w:val="231F20"/>
          <w:sz w:val="22"/>
        </w:rPr>
        <w:t>carers and </w:t>
      </w:r>
      <w:r>
        <w:rPr>
          <w:color w:val="231F20"/>
          <w:spacing w:val="-3"/>
          <w:sz w:val="22"/>
        </w:rPr>
        <w:t>children’s</w:t>
      </w:r>
      <w:r>
        <w:rPr>
          <w:color w:val="231F20"/>
          <w:spacing w:val="-1"/>
          <w:sz w:val="22"/>
        </w:rPr>
        <w:t> </w:t>
      </w:r>
      <w:r>
        <w:rPr>
          <w:color w:val="231F20"/>
          <w:sz w:val="22"/>
        </w:rPr>
        <w:t>homes</w:t>
      </w:r>
    </w:p>
    <w:p>
      <w:pPr>
        <w:pStyle w:val="ListParagraph"/>
        <w:numPr>
          <w:ilvl w:val="0"/>
          <w:numId w:val="6"/>
        </w:numPr>
        <w:tabs>
          <w:tab w:pos="2731" w:val="left" w:leader="none"/>
        </w:tabs>
        <w:spacing w:line="230" w:lineRule="auto" w:before="114" w:after="0"/>
        <w:ind w:left="2730" w:right="1996" w:hanging="340"/>
        <w:jc w:val="both"/>
        <w:rPr>
          <w:sz w:val="22"/>
        </w:rPr>
      </w:pPr>
      <w:r>
        <w:rPr>
          <w:color w:val="231F20"/>
          <w:sz w:val="22"/>
        </w:rPr>
        <w:t>has ensured the delivery of mandatory Violence Against </w:t>
      </w:r>
      <w:r>
        <w:rPr>
          <w:color w:val="231F20"/>
          <w:spacing w:val="-5"/>
          <w:sz w:val="22"/>
        </w:rPr>
        <w:t>Women </w:t>
      </w:r>
      <w:r>
        <w:rPr>
          <w:color w:val="231F20"/>
          <w:sz w:val="22"/>
        </w:rPr>
        <w:t>Domestic Abuse and Sexual Violence training across</w:t>
      </w:r>
      <w:r>
        <w:rPr>
          <w:color w:val="231F20"/>
          <w:spacing w:val="-2"/>
          <w:sz w:val="22"/>
        </w:rPr>
        <w:t> </w:t>
      </w:r>
      <w:r>
        <w:rPr>
          <w:color w:val="231F20"/>
          <w:sz w:val="22"/>
        </w:rPr>
        <w:t>agencies</w:t>
      </w:r>
    </w:p>
    <w:p>
      <w:pPr>
        <w:pStyle w:val="ListParagraph"/>
        <w:numPr>
          <w:ilvl w:val="0"/>
          <w:numId w:val="6"/>
        </w:numPr>
        <w:tabs>
          <w:tab w:pos="2731" w:val="left" w:leader="none"/>
        </w:tabs>
        <w:spacing w:line="240" w:lineRule="auto" w:before="105" w:after="0"/>
        <w:ind w:left="2730" w:right="0" w:hanging="341"/>
        <w:jc w:val="both"/>
        <w:rPr>
          <w:sz w:val="22"/>
        </w:rPr>
      </w:pPr>
      <w:r>
        <w:rPr>
          <w:color w:val="231F20"/>
          <w:sz w:val="22"/>
        </w:rPr>
        <w:t>receives information about unexpected child</w:t>
      </w:r>
      <w:r>
        <w:rPr>
          <w:color w:val="231F20"/>
          <w:spacing w:val="-1"/>
          <w:sz w:val="22"/>
        </w:rPr>
        <w:t> </w:t>
      </w:r>
      <w:r>
        <w:rPr>
          <w:color w:val="231F20"/>
          <w:sz w:val="22"/>
        </w:rPr>
        <w:t>deaths</w:t>
      </w:r>
    </w:p>
    <w:p>
      <w:pPr>
        <w:pStyle w:val="ListParagraph"/>
        <w:numPr>
          <w:ilvl w:val="0"/>
          <w:numId w:val="6"/>
        </w:numPr>
        <w:tabs>
          <w:tab w:pos="2731" w:val="left" w:leader="none"/>
        </w:tabs>
        <w:spacing w:line="230" w:lineRule="auto" w:before="110" w:after="0"/>
        <w:ind w:left="2730" w:right="2085" w:hanging="340"/>
        <w:jc w:val="both"/>
        <w:rPr>
          <w:sz w:val="22"/>
        </w:rPr>
      </w:pPr>
      <w:r>
        <w:rPr>
          <w:color w:val="231F20"/>
          <w:sz w:val="22"/>
        </w:rPr>
        <w:t>has contributed to awareness raising about the recruitment </w:t>
      </w:r>
      <w:r>
        <w:rPr>
          <w:color w:val="231F20"/>
          <w:spacing w:val="-6"/>
          <w:sz w:val="22"/>
        </w:rPr>
        <w:t>and </w:t>
      </w:r>
      <w:r>
        <w:rPr>
          <w:color w:val="231F20"/>
          <w:sz w:val="22"/>
        </w:rPr>
        <w:t>exploitation of young people in drug dealing</w:t>
      </w:r>
    </w:p>
    <w:p>
      <w:pPr>
        <w:spacing w:after="0" w:line="230" w:lineRule="auto"/>
        <w:jc w:val="both"/>
        <w:rPr>
          <w:sz w:val="22"/>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11584" filled="true" fillcolor="#3b957d" stroked="false">
            <v:fill type="solid"/>
            <w10:wrap type="none"/>
          </v:rect>
        </w:pict>
      </w:r>
      <w:r>
        <w:rPr/>
        <w:pict>
          <v:shape style="position:absolute;margin-left:573.765198pt;margin-top:182.052719pt;width:15.7pt;height:477.8pt;mso-position-horizontal-relative:page;mso-position-vertical-relative:page;z-index:15812096"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29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group style="position:absolute;margin-left:34.341301pt;margin-top:12.93640pt;width:478.3pt;height:102.35pt;mso-position-horizontal-relative:page;mso-position-vertical-relative:paragraph;z-index:-15646208;mso-wrap-distance-left:0;mso-wrap-distance-right:0" coordorigin="687,259" coordsize="9566,2047">
            <v:shape style="position:absolute;left:1555;top:258;width:8697;height:2047" coordorigin="1555,259" coordsize="8697,2047" path="m9685,259l2122,259,1795,268,1626,330,1564,498,1555,826,1555,1738,1564,2066,1626,2234,1795,2296,2122,2305,9685,2305,10013,2296,10181,2234,10243,2066,10252,1738,10252,826,10243,498,10181,330,10013,268,9685,259xe" filled="true" fillcolor="#3e77a4" stroked="false">
              <v:path arrowok="t"/>
              <v:fill type="solid"/>
            </v:shape>
            <v:line style="position:absolute" from="2636,869" to="10028,869" stroked="true" strokeweight="1pt" strokecolor="#ffffff">
              <v:stroke dashstyle="solid"/>
            </v:line>
            <v:shape style="position:absolute;left:686;top:434;width:1738;height:1738" coordorigin="687,434" coordsize="1738,1738" path="m1555,434l1480,438,1407,447,1336,462,1267,483,1201,510,1138,541,1077,578,1020,619,967,665,917,714,871,768,830,825,794,885,762,949,736,1015,715,1084,699,1155,690,1228,687,1303,690,1378,699,1451,715,1522,736,1591,762,1657,794,1721,830,1781,871,1838,917,1892,967,1941,1020,1987,1077,2028,1138,2065,1201,2096,1267,2123,1336,2144,1407,2159,1480,2168,1555,2172,1630,2168,1703,2159,1775,2144,1843,2123,1910,2096,1973,2065,2034,2028,2091,1987,2144,1941,2194,1892,2239,1838,2280,1781,2317,1721,2349,1657,2375,1591,2396,1522,2411,1451,2421,1378,2424,1303,2421,1228,2411,1155,2396,1084,2375,1015,2349,949,2317,885,2280,825,2239,768,2194,714,2144,665,2091,619,2034,578,1973,541,1910,510,1843,483,1775,462,1703,447,1630,438,1555,434xe" filled="true" fillcolor="#d5583b" stroked="false">
              <v:path arrowok="t"/>
              <v:fill type="solid"/>
            </v:shape>
            <v:shape style="position:absolute;left:1015;top:601;width:1144;height:1357" coordorigin="1016,601" coordsize="1144,1357" path="m1284,1087l1278,1044,1190,1057,1196,1099,1284,1087xm1304,932l1226,892,1206,931,1283,971,1304,932xm1334,1198l1310,1160,1237,1207,1260,1244,1334,1198xm1386,847l1337,781,1302,808,1350,874,1386,847xm1502,816l1491,739,1448,745,1459,822,1502,816xm1624,1413l1508,1430,1517,1437,1526,1444,1536,1450,1549,1458,1557,1458,1574,1456,1589,1451,1601,1442,1612,1428,1615,1423,1619,1419,1624,1413xm1633,1330l1630,1311,1622,1305,1478,1326,1472,1333,1475,1353,1482,1358,1555,1348,1627,1337,1633,1330xm1637,1384l1635,1364,1627,1359,1489,1378,1482,1386,1485,1406,1494,1411,1562,1401,1631,1391,1637,1384xm1647,758l1605,743,1577,820,1618,836,1647,758xm1694,1040l1691,1007,1681,968,1662,933,1637,905,1602,882,1566,868,1530,862,1492,863,1455,871,1386,907,1343,961,1327,1028,1338,1102,1346,1123,1357,1142,1370,1161,1383,1179,1413,1217,1428,1237,1441,1258,1452,1281,1458,1306,1501,1299,1500,1295,1500,1292,1485,1251,1480,1238,1467,1216,1452,1195,1420,1154,1406,1137,1394,1119,1384,1099,1377,1079,1371,1036,1377,996,1397,960,1428,932,1450,920,1474,912,1498,907,1522,907,1574,918,1614,946,1641,988,1650,1040,1648,1063,1643,1086,1636,1109,1627,1131,1609,1176,1601,1200,1595,1224,1592,1239,1591,1255,1591,1270,1593,1286,1636,1280,1635,1250,1641,1221,1650,1193,1673,1135,1684,1104,1691,1073,1694,1040xm1773,850l1742,818,1679,878,1710,910,1773,850xm1820,1123l1737,1102,1726,1146,1809,1166,1820,1123xm1830,1009l1824,966,1735,979,1741,1021,1830,1009xm2159,1480l2158,1458,2118,1305,2118,1475,1996,1475,1996,1527,1996,1625,1996,1667,1991,1701,1974,1726,1949,1742,1918,1746,1857,1745,1796,1745,1674,1746,1655,1746,1655,1786,1752,1786,1777,1915,1242,1915,1242,1890,1241,1815,1237,1732,1228,1650,1212,1568,1190,1487,1172,1438,1153,1389,1132,1341,1112,1292,1101,1267,1090,1243,1080,1218,1070,1193,1065,1178,1062,1162,1059,1146,1058,1131,1063,1049,1078,973,1104,904,1142,842,1190,785,1249,736,1318,692,1381,665,1446,649,1513,643,1582,645,1665,660,1739,687,1805,727,1863,778,1912,840,1954,912,1979,967,1999,1024,2016,1081,2032,1139,2052,1220,2073,1300,2116,1464,2117,1469,2118,1475,2118,1305,2097,1221,2076,1143,2056,1064,2036,998,2011,933,1981,872,1944,813,1893,750,1835,698,1770,657,1735,643,1698,627,1619,609,1562,601,1524,601,1497,604,1467,606,1452,608,1437,610,1362,631,1295,659,1234,695,1179,739,1131,792,1089,852,1055,921,1032,983,1019,1047,1016,1112,1025,1178,1034,1208,1045,1238,1058,1268,1071,1297,1104,1373,1134,1449,1160,1527,1180,1607,1193,1689,1199,1756,1202,1823,1202,1890,1199,1957,1826,1957,1818,1915,1793,1787,1810,1787,1867,1787,1911,1787,1925,1787,1965,1779,1998,1759,2008,1746,2022,1729,2032,1690,2034,1658,2035,1625,2035,1516,2041,1516,2046,1515,2067,1515,2098,1515,2109,1515,2114,1515,2136,1511,2151,1499,2159,1480xe" filled="true" fillcolor="#ffffff" stroked="false">
              <v:path arrowok="t"/>
              <v:fill type="solid"/>
            </v:shape>
            <v:shape style="position:absolute;left:686;top:258;width:9566;height:2047" type="#_x0000_t202" filled="false" stroked="false">
              <v:textbox inset="0,0,0,0">
                <w:txbxContent>
                  <w:p>
                    <w:pPr>
                      <w:spacing w:before="150"/>
                      <w:ind w:left="1949" w:right="0" w:firstLine="0"/>
                      <w:jc w:val="left"/>
                      <w:rPr>
                        <w:rFonts w:ascii="Avenir"/>
                        <w:b/>
                        <w:sz w:val="28"/>
                      </w:rPr>
                    </w:pPr>
                    <w:r>
                      <w:rPr>
                        <w:rFonts w:ascii="Avenir"/>
                        <w:b/>
                        <w:color w:val="FFFFFF"/>
                        <w:sz w:val="28"/>
                      </w:rPr>
                      <w:t>DID YOU KNOW?</w:t>
                    </w:r>
                  </w:p>
                  <w:p>
                    <w:pPr>
                      <w:spacing w:line="218" w:lineRule="auto" w:before="245"/>
                      <w:ind w:left="1949" w:right="0" w:firstLine="0"/>
                      <w:jc w:val="left"/>
                      <w:rPr>
                        <w:sz w:val="22"/>
                      </w:rPr>
                    </w:pPr>
                    <w:r>
                      <w:rPr>
                        <w:color w:val="FFFFFF"/>
                        <w:spacing w:val="-3"/>
                        <w:sz w:val="22"/>
                      </w:rPr>
                      <w:t>Asking </w:t>
                    </w:r>
                    <w:r>
                      <w:rPr>
                        <w:color w:val="FFFFFF"/>
                        <w:spacing w:val="-4"/>
                        <w:sz w:val="22"/>
                      </w:rPr>
                      <w:t>Board </w:t>
                    </w:r>
                    <w:r>
                      <w:rPr>
                        <w:color w:val="FFFFFF"/>
                        <w:spacing w:val="-3"/>
                        <w:sz w:val="22"/>
                      </w:rPr>
                      <w:t>Colleagues </w:t>
                    </w:r>
                    <w:r>
                      <w:rPr>
                        <w:color w:val="FFFFFF"/>
                        <w:sz w:val="22"/>
                      </w:rPr>
                      <w:t>- </w:t>
                    </w:r>
                    <w:r>
                      <w:rPr>
                        <w:color w:val="FFFFFF"/>
                        <w:spacing w:val="-3"/>
                        <w:sz w:val="22"/>
                      </w:rPr>
                      <w:t>“What </w:t>
                    </w:r>
                    <w:r>
                      <w:rPr>
                        <w:color w:val="FFFFFF"/>
                        <w:spacing w:val="-4"/>
                        <w:sz w:val="22"/>
                      </w:rPr>
                      <w:t>three </w:t>
                    </w:r>
                    <w:r>
                      <w:rPr>
                        <w:color w:val="FFFFFF"/>
                        <w:spacing w:val="-3"/>
                        <w:sz w:val="22"/>
                      </w:rPr>
                      <w:t>things have </w:t>
                    </w:r>
                    <w:r>
                      <w:rPr>
                        <w:color w:val="FFFFFF"/>
                        <w:sz w:val="22"/>
                      </w:rPr>
                      <w:t>we </w:t>
                    </w:r>
                    <w:r>
                      <w:rPr>
                        <w:color w:val="FFFFFF"/>
                        <w:spacing w:val="-3"/>
                        <w:sz w:val="22"/>
                      </w:rPr>
                      <w:t>done that have </w:t>
                    </w:r>
                    <w:r>
                      <w:rPr>
                        <w:color w:val="FFFFFF"/>
                        <w:sz w:val="22"/>
                      </w:rPr>
                      <w:t>had - and </w:t>
                    </w:r>
                    <w:r>
                      <w:rPr>
                        <w:color w:val="FFFFFF"/>
                        <w:spacing w:val="-3"/>
                        <w:sz w:val="22"/>
                      </w:rPr>
                      <w:t>will have </w:t>
                    </w:r>
                    <w:r>
                      <w:rPr>
                        <w:color w:val="FFFFFF"/>
                        <w:sz w:val="22"/>
                      </w:rPr>
                      <w:t>- the </w:t>
                    </w:r>
                    <w:r>
                      <w:rPr>
                        <w:color w:val="FFFFFF"/>
                        <w:spacing w:val="-4"/>
                        <w:sz w:val="22"/>
                      </w:rPr>
                      <w:t>strongest </w:t>
                    </w:r>
                    <w:r>
                      <w:rPr>
                        <w:color w:val="FFFFFF"/>
                        <w:spacing w:val="-3"/>
                        <w:sz w:val="22"/>
                      </w:rPr>
                      <w:t>influence </w:t>
                    </w:r>
                    <w:r>
                      <w:rPr>
                        <w:color w:val="FFFFFF"/>
                        <w:sz w:val="22"/>
                      </w:rPr>
                      <w:t>on the </w:t>
                    </w:r>
                    <w:r>
                      <w:rPr>
                        <w:color w:val="FFFFFF"/>
                        <w:spacing w:val="-3"/>
                        <w:sz w:val="22"/>
                      </w:rPr>
                      <w:t>lives </w:t>
                    </w:r>
                    <w:r>
                      <w:rPr>
                        <w:color w:val="FFFFFF"/>
                        <w:sz w:val="22"/>
                      </w:rPr>
                      <w:t>of </w:t>
                    </w:r>
                    <w:r>
                      <w:rPr>
                        <w:color w:val="FFFFFF"/>
                        <w:spacing w:val="-4"/>
                        <w:sz w:val="22"/>
                      </w:rPr>
                      <w:t>children, </w:t>
                    </w:r>
                    <w:r>
                      <w:rPr>
                        <w:color w:val="FFFFFF"/>
                        <w:spacing w:val="-3"/>
                        <w:sz w:val="22"/>
                      </w:rPr>
                      <w:t>young people </w:t>
                    </w:r>
                    <w:r>
                      <w:rPr>
                        <w:color w:val="FFFFFF"/>
                        <w:sz w:val="22"/>
                      </w:rPr>
                      <w:t>and </w:t>
                    </w:r>
                    <w:r>
                      <w:rPr>
                        <w:color w:val="FFFFFF"/>
                        <w:spacing w:val="-3"/>
                        <w:sz w:val="22"/>
                      </w:rPr>
                      <w:t>adults known </w:t>
                    </w:r>
                    <w:r>
                      <w:rPr>
                        <w:color w:val="FFFFFF"/>
                        <w:sz w:val="22"/>
                      </w:rPr>
                      <w:t>to </w:t>
                    </w:r>
                    <w:r>
                      <w:rPr>
                        <w:color w:val="FFFFFF"/>
                        <w:spacing w:val="-4"/>
                        <w:sz w:val="22"/>
                      </w:rPr>
                      <w:t>safeguarding </w:t>
                    </w:r>
                    <w:r>
                      <w:rPr>
                        <w:color w:val="FFFFFF"/>
                        <w:spacing w:val="-3"/>
                        <w:sz w:val="22"/>
                      </w:rPr>
                      <w:t>services?” </w:t>
                    </w:r>
                    <w:r>
                      <w:rPr>
                        <w:color w:val="FFFFFF"/>
                        <w:sz w:val="22"/>
                      </w:rPr>
                      <w:t>- </w:t>
                    </w:r>
                    <w:r>
                      <w:rPr>
                        <w:color w:val="FFFFFF"/>
                        <w:spacing w:val="-3"/>
                        <w:sz w:val="22"/>
                      </w:rPr>
                      <w:t>will </w:t>
                    </w:r>
                    <w:r>
                      <w:rPr>
                        <w:color w:val="FFFFFF"/>
                        <w:sz w:val="22"/>
                      </w:rPr>
                      <w:t>be </w:t>
                    </w:r>
                    <w:r>
                      <w:rPr>
                        <w:color w:val="FFFFFF"/>
                        <w:spacing w:val="-3"/>
                        <w:sz w:val="22"/>
                      </w:rPr>
                      <w:t>helpful </w:t>
                    </w:r>
                    <w:r>
                      <w:rPr>
                        <w:color w:val="FFFFFF"/>
                        <w:sz w:val="22"/>
                      </w:rPr>
                      <w:t>in </w:t>
                    </w:r>
                    <w:r>
                      <w:rPr>
                        <w:color w:val="FFFFFF"/>
                        <w:spacing w:val="-3"/>
                        <w:sz w:val="22"/>
                      </w:rPr>
                      <w:t>sorting the </w:t>
                    </w:r>
                    <w:r>
                      <w:rPr>
                        <w:color w:val="FFFFFF"/>
                        <w:spacing w:val="-4"/>
                        <w:sz w:val="22"/>
                      </w:rPr>
                      <w:t>breakthrough </w:t>
                    </w:r>
                    <w:r>
                      <w:rPr>
                        <w:color w:val="FFFFFF"/>
                        <w:spacing w:val="-3"/>
                        <w:sz w:val="22"/>
                      </w:rPr>
                      <w:t>achievements </w:t>
                    </w:r>
                    <w:r>
                      <w:rPr>
                        <w:color w:val="FFFFFF"/>
                        <w:spacing w:val="-4"/>
                        <w:sz w:val="22"/>
                      </w:rPr>
                      <w:t>from process refinements.</w:t>
                    </w:r>
                  </w:p>
                </w:txbxContent>
              </v:textbox>
              <w10:wrap type="none"/>
            </v:shape>
            <w10:wrap type="topAndBottom"/>
          </v:group>
        </w:pict>
      </w:r>
    </w:p>
    <w:p>
      <w:pPr>
        <w:spacing w:after="0"/>
        <w:rPr>
          <w:sz w:val="16"/>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63840" filled="true" fillcolor="#3b957d" stroked="false">
            <v:fill type="solid"/>
            <w10:wrap type="none"/>
          </v:rect>
        </w:pict>
      </w:r>
      <w:r>
        <w:rPr/>
        <w:pict>
          <v:group style="position:absolute;margin-left:594.566711pt;margin-top:212.599014pt;width:.75pt;height:629.3pt;mso-position-horizontal-relative:page;mso-position-vertical-relative:page;z-index:15813632" coordorigin="11891,4252" coordsize="15,12586">
            <v:rect style="position:absolute;left:11891;top:4251;width:15;height:12384" filled="true" fillcolor="#7cd3f9" stroked="false">
              <v:fill type="solid"/>
            </v:rect>
            <v:shape style="position:absolute;left:11891;top:5746;width:15;height:11092" coordorigin="11891,5747" coordsize="15,11092" path="m11891,5747l11891,16838,11906,16838,11906,5749,11891,5747xe" filled="true" fillcolor="#0099e5" stroked="false">
              <v:path arrowok="t"/>
              <v:fill type="solid"/>
            </v:shape>
            <v:shape style="position:absolute;left:11891;top:7579;width:15;height:9057" coordorigin="11891,7579" coordsize="15,9057" path="m11891,7579l11891,16636,11906,16636,11906,7584,11891,7579xe" filled="true" fillcolor="#16b5f9" stroked="false">
              <v:path arrowok="t"/>
              <v:fill type="solid"/>
            </v:shape>
            <v:shape style="position:absolute;left:11891;top:9370;width:15;height:7266" coordorigin="11891,9370" coordsize="15,7266" path="m11891,9370l11891,16636,11906,16636,11906,9372,11891,9370xe" filled="true" fillcolor="#0099e5" stroked="false">
              <v:path arrowok="t"/>
              <v:fill type="solid"/>
            </v:shape>
            <v:shape style="position:absolute;left:11891;top:11021;width:15;height:5615" coordorigin="11891,11021" coordsize="15,5615" path="m11891,11021l11891,16636,11906,16636,11906,11026,11891,11021xe" filled="true" fillcolor="#0075bf" stroked="false">
              <v:path arrowok="t"/>
              <v:fill type="solid"/>
            </v:shape>
            <v:shape style="position:absolute;left:11891;top:13772;width:15;height:3066" coordorigin="11891,13772" coordsize="15,3066" path="m11891,13772l11891,16838,11906,16838,11906,13778,11891,13772xe" filled="true" fillcolor="#00549e" stroked="false">
              <v:path arrowok="t"/>
              <v:fill type="solid"/>
            </v:shape>
            <w10:wrap type="none"/>
          </v:group>
        </w:pict>
      </w:r>
    </w:p>
    <w:p>
      <w:pPr>
        <w:pStyle w:val="BodyText"/>
        <w:spacing w:before="6"/>
      </w:pPr>
    </w:p>
    <w:p>
      <w:pPr>
        <w:tabs>
          <w:tab w:pos="7398" w:val="left" w:leader="none"/>
        </w:tabs>
        <w:spacing w:before="100"/>
        <w:ind w:left="927" w:right="0" w:firstLine="0"/>
        <w:jc w:val="left"/>
        <w:rPr>
          <w:sz w:val="16"/>
        </w:rPr>
      </w:pPr>
      <w:r>
        <w:rPr>
          <w:color w:val="231F20"/>
          <w:sz w:val="16"/>
        </w:rPr>
        <w:t>30</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1"/>
        <w:tabs>
          <w:tab w:pos="3137" w:val="left" w:leader="none"/>
        </w:tabs>
        <w:spacing w:line="211" w:lineRule="auto"/>
        <w:ind w:left="924" w:right="1526"/>
      </w:pPr>
      <w:r>
        <w:rPr>
          <w:color w:val="3B957D"/>
        </w:rPr>
        <w:t>The extent to which Safeguarding Board </w:t>
      </w:r>
      <w:r>
        <w:rPr>
          <w:color w:val="3B957D"/>
          <w:spacing w:val="-3"/>
        </w:rPr>
        <w:t>members </w:t>
      </w:r>
      <w:r>
        <w:rPr>
          <w:color w:val="3B957D"/>
        </w:rPr>
        <w:t>contributed</w:t>
        <w:tab/>
        <w:t>to the Boards’</w:t>
      </w:r>
      <w:r>
        <w:rPr>
          <w:color w:val="3B957D"/>
          <w:spacing w:val="-3"/>
        </w:rPr>
        <w:t> </w:t>
      </w:r>
      <w:r>
        <w:rPr>
          <w:color w:val="3B957D"/>
        </w:rPr>
        <w:t>effectiveness</w:t>
      </w:r>
    </w:p>
    <w:p>
      <w:pPr>
        <w:pStyle w:val="BodyText"/>
        <w:spacing w:line="230" w:lineRule="auto" w:before="236"/>
        <w:ind w:left="924" w:right="445"/>
      </w:pPr>
      <w:r>
        <w:rPr/>
        <w:pict>
          <v:shape style="position:absolute;margin-left:7.0315pt;margin-top:31.810888pt;width:15.7pt;height:477.8pt;mso-position-horizontal-relative:page;mso-position-vertical-relative:paragraph;z-index:-17762816"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color w:val="231F20"/>
        </w:rPr>
        <w:t>We observed in our report of 2016-17, “It is not known whether or not agencies invited</w:t>
      </w:r>
      <w:r>
        <w:rPr>
          <w:color w:val="231F20"/>
          <w:spacing w:val="-24"/>
        </w:rPr>
        <w:t> </w:t>
      </w:r>
      <w:r>
        <w:rPr>
          <w:color w:val="231F20"/>
        </w:rPr>
        <w:t>colleagues from different sectors to co-author the assessments of their contributions.” This year we note that individual agencies continue to assess their own contributions and/or judgements are made on the basis of (i) “support” to the Regional Boards; (ii) roles within the Regional Boards, typically Vice-Chairing; (iii) membership of the Regional Boards’ sub groups and associated Chairing or Vice-Chairing roles; (iv) as Child/ Adult Practice Reviewers and/or panel members; (v) presenters</w:t>
      </w:r>
      <w:r>
        <w:rPr>
          <w:color w:val="231F20"/>
          <w:spacing w:val="-7"/>
        </w:rPr>
        <w:t> </w:t>
      </w:r>
      <w:r>
        <w:rPr>
          <w:color w:val="231F20"/>
        </w:rPr>
        <w:t>of</w:t>
      </w:r>
    </w:p>
    <w:p>
      <w:pPr>
        <w:pStyle w:val="BodyText"/>
        <w:spacing w:line="230" w:lineRule="auto" w:before="1"/>
        <w:ind w:left="924"/>
      </w:pPr>
      <w:r>
        <w:rPr>
          <w:color w:val="231F20"/>
        </w:rPr>
        <w:t>information to the Boards; and (vi) participants at learning events and development days for example. We do not reproduce these. We note however that Mid and West Wales’ states in its report of Powys’ Children’s services’ attendance and engagement have been “inconsistent…along with Powys’ initial unwillingness to be part of the Mid and West Wales’ Regional </w:t>
      </w:r>
      <w:r>
        <w:rPr>
          <w:rFonts w:ascii="Avenir" w:hAnsi="Avenir"/>
          <w:i/>
          <w:color w:val="231F20"/>
        </w:rPr>
        <w:t>Violence Against Women, Domestic Abuse and Sexual Violence </w:t>
      </w:r>
      <w:r>
        <w:rPr>
          <w:color w:val="231F20"/>
        </w:rPr>
        <w:t>Strategic Board...”</w:t>
      </w:r>
    </w:p>
    <w:p>
      <w:pPr>
        <w:pStyle w:val="BodyText"/>
        <w:spacing w:before="6"/>
        <w:rPr>
          <w:sz w:val="21"/>
        </w:rPr>
      </w:pPr>
    </w:p>
    <w:p>
      <w:pPr>
        <w:spacing w:line="230" w:lineRule="auto" w:before="0"/>
        <w:ind w:left="924" w:right="145" w:firstLine="0"/>
        <w:jc w:val="left"/>
        <w:rPr>
          <w:rFonts w:ascii="Avenir" w:hAnsi="Avenir"/>
          <w:i/>
          <w:sz w:val="22"/>
        </w:rPr>
      </w:pPr>
      <w:r>
        <w:rPr>
          <w:color w:val="231F20"/>
          <w:sz w:val="22"/>
        </w:rPr>
        <w:t>What we set out are examples of the contributions of single agencies or agencies working together to engage with children, young people and adults - agencies which recognise the importance of professional attentiveness and personal relationships. Getting mediating structures and processes in place, without reference to the implications for people known to safeguarding professionals, may be less successful in reaching hearts and minds. As Jenny Williams, the Chair of North Wales’ </w:t>
      </w:r>
      <w:r>
        <w:rPr>
          <w:color w:val="231F20"/>
          <w:spacing w:val="-3"/>
          <w:sz w:val="22"/>
        </w:rPr>
        <w:t>Children’s </w:t>
      </w:r>
      <w:r>
        <w:rPr>
          <w:color w:val="231F20"/>
          <w:sz w:val="22"/>
        </w:rPr>
        <w:t>Board noted, </w:t>
      </w:r>
      <w:r>
        <w:rPr>
          <w:rFonts w:ascii="Avenir" w:hAnsi="Avenir"/>
          <w:i/>
          <w:color w:val="231F20"/>
          <w:sz w:val="22"/>
        </w:rPr>
        <w:t>Looking back...we have had a general period of stability and this has paid dividends in the work streams and in our effectiveness. It is however often easy to forget that we must go </w:t>
      </w:r>
      <w:r>
        <w:rPr>
          <w:rFonts w:ascii="Avenir" w:hAnsi="Avenir"/>
          <w:i/>
          <w:color w:val="231F20"/>
          <w:spacing w:val="-3"/>
          <w:sz w:val="22"/>
        </w:rPr>
        <w:t>beyond </w:t>
      </w:r>
      <w:r>
        <w:rPr>
          <w:rFonts w:ascii="Avenir" w:hAnsi="Avenir"/>
          <w:i/>
          <w:color w:val="231F20"/>
          <w:sz w:val="22"/>
        </w:rPr>
        <w:t>this and remember that children, young people and families are the heart of some of the most sensitive and intense work that we undertake as safeguarding agencies. What remains with me are the heartfelt stories we are privileged to </w:t>
      </w:r>
      <w:r>
        <w:rPr>
          <w:rFonts w:ascii="Avenir" w:hAnsi="Avenir"/>
          <w:i/>
          <w:color w:val="231F20"/>
          <w:spacing w:val="-5"/>
          <w:sz w:val="22"/>
        </w:rPr>
        <w:t>hear…</w:t>
      </w: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rPr>
          <w:rFonts w:ascii="Avenir"/>
          <w:i/>
          <w:sz w:val="20"/>
        </w:rPr>
      </w:pPr>
    </w:p>
    <w:p>
      <w:pPr>
        <w:pStyle w:val="BodyText"/>
        <w:spacing w:before="7"/>
        <w:rPr>
          <w:rFonts w:ascii="Avenir"/>
          <w:i/>
          <w:sz w:val="16"/>
        </w:rPr>
      </w:pPr>
      <w:r>
        <w:rPr/>
        <w:pict>
          <v:group style="position:absolute;margin-left:141.512299pt;margin-top:12.93332pt;width:419.75pt;height:115.2pt;mso-position-horizontal-relative:page;mso-position-vertical-relative:paragraph;z-index:-15644672;mso-wrap-distance-left:0;mso-wrap-distance-right:0" coordorigin="2830,259" coordsize="8395,2304">
            <v:shape style="position:absolute;left:3900;top:360;width:7325;height:2155" coordorigin="3900,361" coordsize="7325,2155" path="m10658,361l4467,361,4140,370,3971,432,3909,600,3900,928,3900,1948,3909,2276,3971,2444,4140,2506,4467,2515,10658,2515,10986,2506,11154,2444,11216,2276,11225,1948,11225,928,11216,600,11154,432,10986,370,10658,361xe" filled="true" fillcolor="#3e77a4" stroked="false">
              <v:path arrowok="t"/>
              <v:fill type="solid"/>
            </v:shape>
            <v:shape style="position:absolute;left:2830;top:258;width:2304;height:2304" coordorigin="2830,259" coordsize="2304,2304" path="m3982,259l3906,261,3832,268,3759,280,3687,297,3618,317,3550,342,3485,371,3421,404,3360,441,3302,481,3246,524,3193,571,3143,621,3096,674,3052,730,3012,789,2976,850,2943,913,2914,979,2889,1046,2868,1116,2852,1187,2840,1260,2833,1335,2830,1410,2833,1486,2840,1560,2852,1633,2868,1705,2889,1774,2914,1842,2943,1908,2976,1971,3012,2032,3052,2090,3096,2146,3143,2199,3193,2249,3246,2296,3302,2340,3360,2380,3421,2416,3485,2449,3550,2478,3618,2503,3687,2524,3759,2540,3832,2552,3906,2559,3982,2562,4058,2559,4132,2552,4205,2540,4276,2524,4346,2503,4413,2478,4479,2449,4542,2416,4603,2380,4662,2340,4718,2296,4771,2249,4821,2199,4868,2146,4911,2090,4951,2032,4988,1971,5021,1908,5050,1842,5075,1774,5095,1705,5112,1633,5124,1560,5131,1486,5133,1410,5131,1335,5124,1260,5112,1187,5095,1116,5075,1046,5050,979,5021,913,4988,850,4951,789,4911,730,4868,674,4821,621,4771,571,4718,524,4662,481,4603,441,4542,404,4479,371,4413,342,4346,317,4276,297,4205,280,4132,268,4058,261,3982,259xe" filled="true" fillcolor="#d5583b" stroked="false">
              <v:path arrowok="t"/>
              <v:fill type="solid"/>
            </v:shape>
            <v:shape style="position:absolute;left:3266;top:479;width:1516;height:1798" coordorigin="3266,480" coordsize="1516,1798" path="m3623,1124l3614,1067,3497,1083,3506,1140,3623,1124xm3648,918l3546,865,3519,917,3621,970,3648,918xm3688,1270l3657,1220,3559,1282,3591,1332,3688,1270xm3758,806l3693,718,3645,753,3710,841,3758,806xm3911,765l3896,662,3840,670,3854,773,3911,765xm4073,1556l3919,1578,3931,1588,3943,1597,3956,1605,3973,1616,3984,1615,4006,1613,4026,1606,4043,1594,4057,1576,4061,1570,4067,1564,4073,1556xm4084,1446l4081,1421,4071,1414,3879,1441,3871,1450,3875,1476,3885,1483,3981,1469,4077,1456,4084,1446xm4090,1518l4087,1491,4077,1484,3893,1510,3885,1520,3889,1546,3900,1553,3990,1540,4083,1527,4090,1518xm4103,688l4047,668,4010,770,4065,791,4103,688xm4166,1062l4162,1018,4148,966,4124,920,4089,882,4044,852,3996,834,3948,826,3898,828,3849,838,3773,873,3719,926,3687,991,3679,1065,3693,1143,3705,1171,3719,1197,3735,1222,3753,1246,3793,1296,3813,1323,3830,1351,3844,1381,3853,1414,3909,1406,3909,1400,3909,1395,3895,1357,3889,1341,3882,1325,3865,1295,3845,1267,3802,1213,3784,1190,3768,1166,3755,1140,3745,1113,3737,1056,3746,1003,3771,956,3814,918,3843,902,3873,891,3905,886,3938,885,4006,899,4060,937,4095,993,4108,1061,4105,1093,4098,1123,4089,1153,4077,1182,4065,1212,4053,1242,4042,1273,4034,1305,4031,1326,4029,1346,4030,1367,4032,1388,4088,1380,4088,1340,4095,1301,4107,1264,4138,1188,4153,1147,4162,1105,4166,1062xm4270,810l4230,767,4146,847,4187,890,4270,810xm4332,1172l4222,1144,4208,1201,4318,1229,4332,1172xm4346,1020l4338,964,4220,981,4228,1037,4346,1020xm4782,1646l4780,1615,4728,1413,4728,1639,4566,1639,4566,1692,4566,1736,4566,1794,4566,1844,4566,1893,4559,1938,4537,1971,4503,1992,4462,1998,4382,1997,4301,1997,4139,1997,4114,1997,4114,2051,4242,2051,4276,2221,3567,2221,3567,2189,3566,2121,3564,2042,3558,1963,3550,1885,3537,1808,3520,1731,3497,1655,3474,1589,3448,1525,3421,1460,3394,1396,3380,1363,3365,1330,3351,1297,3338,1264,3332,1244,3327,1223,3324,1203,3323,1182,3326,1096,3338,1016,3359,941,3389,872,3427,807,3475,748,3530,694,3595,645,3668,601,3734,571,3802,550,3872,538,3944,534,4016,538,4101,551,4178,573,4249,605,4313,646,4371,695,4423,753,4470,819,4511,892,4543,965,4570,1040,4593,1116,4613,1193,4635,1278,4657,1364,4702,1534,4725,1624,4726,1630,4728,1639,4728,1413,4703,1317,4684,1242,4665,1168,4645,1093,4624,1023,4600,954,4571,887,4537,822,4497,760,4450,700,4398,646,4341,600,4279,561,4224,534,4213,529,4142,506,4066,490,3990,480,3941,480,3904,483,3864,487,3844,489,3824,492,3747,512,3675,538,3608,571,3547,610,3490,656,3439,708,3393,767,3353,832,3318,903,3288,986,3270,1071,3266,1157,3279,1244,3290,1285,3305,1324,3322,1364,3339,1403,3371,1474,3401,1546,3428,1619,3453,1693,3474,1768,3490,1844,3501,1922,3509,2011,3513,2100,3514,2189,3509,2278,4341,2278,4330,2221,4297,2052,4319,2052,4395,2052,4455,2052,4472,2052,4524,2042,4569,2015,4582,1998,4600,1975,4614,1924,4617,1880,4617,1844,4617,1693,4626,1692,4633,1692,4666,1692,4701,1692,4715,1692,4722,1692,4752,1686,4772,1670,4782,1646xe" filled="true" fillcolor="#ffffff" stroked="false">
              <v:path arrowok="t"/>
              <v:fill type="solid"/>
            </v:shape>
            <v:line style="position:absolute" from="5451,1028" to="10777,1028" stroked="true" strokeweight="1pt" strokecolor="#ffffff">
              <v:stroke dashstyle="solid"/>
            </v:line>
            <v:shape style="position:absolute;left:2830;top:258;width:8395;height:2304" type="#_x0000_t202" filled="false" stroked="false">
              <v:textbox inset="0,0,0,0">
                <w:txbxContent>
                  <w:p>
                    <w:pPr>
                      <w:spacing w:before="309"/>
                      <w:ind w:left="2621" w:right="0" w:firstLine="0"/>
                      <w:jc w:val="left"/>
                      <w:rPr>
                        <w:rFonts w:ascii="Avenir"/>
                        <w:b/>
                        <w:sz w:val="28"/>
                      </w:rPr>
                    </w:pPr>
                    <w:r>
                      <w:rPr>
                        <w:rFonts w:ascii="Avenir"/>
                        <w:b/>
                        <w:color w:val="FFFFFF"/>
                        <w:sz w:val="28"/>
                      </w:rPr>
                      <w:t>DID YOU KNOW?</w:t>
                    </w:r>
                  </w:p>
                  <w:p>
                    <w:pPr>
                      <w:spacing w:line="218" w:lineRule="auto" w:before="245"/>
                      <w:ind w:left="2621" w:right="458" w:firstLine="0"/>
                      <w:jc w:val="left"/>
                      <w:rPr>
                        <w:sz w:val="22"/>
                      </w:rPr>
                    </w:pPr>
                    <w:r>
                      <w:rPr>
                        <w:color w:val="FFFFFF"/>
                        <w:sz w:val="22"/>
                      </w:rPr>
                      <w:t>The </w:t>
                    </w:r>
                    <w:r>
                      <w:rPr>
                        <w:color w:val="FFFFFF"/>
                        <w:spacing w:val="-3"/>
                        <w:sz w:val="22"/>
                      </w:rPr>
                      <w:t>best </w:t>
                    </w:r>
                    <w:r>
                      <w:rPr>
                        <w:color w:val="FFFFFF"/>
                        <w:sz w:val="22"/>
                      </w:rPr>
                      <w:t>of </w:t>
                    </w:r>
                    <w:r>
                      <w:rPr>
                        <w:color w:val="FFFFFF"/>
                        <w:spacing w:val="-4"/>
                        <w:sz w:val="22"/>
                      </w:rPr>
                      <w:t>safeguarding cultures are </w:t>
                    </w:r>
                    <w:r>
                      <w:rPr>
                        <w:color w:val="FFFFFF"/>
                        <w:spacing w:val="-3"/>
                        <w:sz w:val="22"/>
                      </w:rPr>
                      <w:t>outcome focused </w:t>
                    </w:r>
                    <w:r>
                      <w:rPr>
                        <w:color w:val="FFFFFF"/>
                        <w:sz w:val="22"/>
                      </w:rPr>
                      <w:t>and </w:t>
                    </w:r>
                    <w:r>
                      <w:rPr>
                        <w:color w:val="FFFFFF"/>
                        <w:spacing w:val="-3"/>
                        <w:sz w:val="22"/>
                      </w:rPr>
                      <w:t>well-led. They build </w:t>
                    </w:r>
                    <w:r>
                      <w:rPr>
                        <w:color w:val="FFFFFF"/>
                        <w:sz w:val="22"/>
                      </w:rPr>
                      <w:t>on </w:t>
                    </w:r>
                    <w:r>
                      <w:rPr>
                        <w:color w:val="FFFFFF"/>
                        <w:spacing w:val="-4"/>
                        <w:sz w:val="22"/>
                      </w:rPr>
                      <w:t>shared </w:t>
                    </w:r>
                    <w:r>
                      <w:rPr>
                        <w:color w:val="FFFFFF"/>
                        <w:spacing w:val="-3"/>
                        <w:sz w:val="22"/>
                      </w:rPr>
                      <w:t>values </w:t>
                    </w:r>
                    <w:r>
                      <w:rPr>
                        <w:color w:val="FFFFFF"/>
                        <w:sz w:val="22"/>
                      </w:rPr>
                      <w:t>and </w:t>
                    </w:r>
                    <w:r>
                      <w:rPr>
                        <w:color w:val="FFFFFF"/>
                        <w:spacing w:val="-3"/>
                        <w:sz w:val="22"/>
                      </w:rPr>
                      <w:t>purpose, </w:t>
                    </w:r>
                    <w:r>
                      <w:rPr>
                        <w:color w:val="FFFFFF"/>
                        <w:spacing w:val="-4"/>
                        <w:sz w:val="22"/>
                      </w:rPr>
                      <w:t>are </w:t>
                    </w:r>
                    <w:r>
                      <w:rPr>
                        <w:color w:val="FFFFFF"/>
                        <w:spacing w:val="-3"/>
                        <w:sz w:val="22"/>
                      </w:rPr>
                      <w:t>willing </w:t>
                    </w:r>
                    <w:r>
                      <w:rPr>
                        <w:color w:val="FFFFFF"/>
                        <w:sz w:val="22"/>
                      </w:rPr>
                      <w:t>to win </w:t>
                    </w:r>
                    <w:r>
                      <w:rPr>
                        <w:color w:val="FFFFFF"/>
                        <w:spacing w:val="-3"/>
                        <w:sz w:val="22"/>
                      </w:rPr>
                      <w:t>trust, </w:t>
                    </w:r>
                    <w:r>
                      <w:rPr>
                        <w:color w:val="FFFFFF"/>
                        <w:sz w:val="22"/>
                      </w:rPr>
                      <w:t>to </w:t>
                    </w:r>
                    <w:r>
                      <w:rPr>
                        <w:color w:val="FFFFFF"/>
                        <w:spacing w:val="-3"/>
                        <w:sz w:val="22"/>
                      </w:rPr>
                      <w:t>track </w:t>
                    </w:r>
                    <w:r>
                      <w:rPr>
                        <w:color w:val="FFFFFF"/>
                        <w:spacing w:val="-4"/>
                        <w:sz w:val="22"/>
                      </w:rPr>
                      <w:t>results </w:t>
                    </w:r>
                    <w:r>
                      <w:rPr>
                        <w:color w:val="FFFFFF"/>
                        <w:sz w:val="22"/>
                      </w:rPr>
                      <w:t>and </w:t>
                    </w:r>
                    <w:r>
                      <w:rPr>
                        <w:color w:val="FFFFFF"/>
                        <w:spacing w:val="-3"/>
                        <w:sz w:val="22"/>
                      </w:rPr>
                      <w:t>allow </w:t>
                    </w:r>
                    <w:r>
                      <w:rPr>
                        <w:color w:val="FFFFFF"/>
                        <w:spacing w:val="-4"/>
                        <w:sz w:val="22"/>
                      </w:rPr>
                      <w:t>staff discretion.</w:t>
                    </w:r>
                  </w:p>
                </w:txbxContent>
              </v:textbox>
              <w10:wrap type="none"/>
            </v:shape>
            <w10:wrap type="topAndBottom"/>
          </v:group>
        </w:pict>
      </w:r>
    </w:p>
    <w:p>
      <w:pPr>
        <w:spacing w:after="0"/>
        <w:rPr>
          <w:rFonts w:ascii="Avenir"/>
          <w:sz w:val="16"/>
        </w:rPr>
        <w:sectPr>
          <w:pgSz w:w="11910" w:h="16840"/>
          <w:pgMar w:top="0" w:bottom="0" w:left="320" w:right="560"/>
        </w:sectPr>
      </w:pPr>
    </w:p>
    <w:p>
      <w:pPr>
        <w:tabs>
          <w:tab w:pos="10338" w:val="right" w:leader="none"/>
        </w:tabs>
        <w:spacing w:before="82"/>
        <w:ind w:left="360" w:right="0" w:firstLine="0"/>
        <w:jc w:val="left"/>
        <w:rPr>
          <w:sz w:val="16"/>
        </w:rPr>
      </w:pPr>
      <w:r>
        <w:rPr/>
        <w:pict>
          <v:group style="position:absolute;margin-left:0pt;margin-top:0pt;width:595.3pt;height:841.9pt;mso-position-horizontal-relative:page;mso-position-vertical-relative:page;z-index:-17762304" coordorigin="0,0" coordsize="11906,16838">
            <v:rect style="position:absolute;left:11338;top:0;width:567;height:16838" filled="true" fillcolor="#3b957d" stroked="false">
              <v:fill type="solid"/>
            </v:rect>
            <v:rect style="position:absolute;left:0;top:4251;width:11339;height:12384" filled="true" fillcolor="#7cd3f9" stroked="false">
              <v:fill type="solid"/>
            </v:rect>
            <v:shape style="position:absolute;left:362;top:2096;width:8763;height:2395" coordorigin="363,2097" coordsize="8763,2395" path="m4164,2097l4045,2103,3979,2108,3909,2114,3836,2121,3759,2130,3680,2139,3598,2149,3513,2161,3426,2173,3337,2186,3246,2199,3059,2229,2868,2260,2673,2293,2478,2328,2283,2363,2091,2399,1811,2453,1547,2506,1305,2555,1091,2601,912,2640,814,2662,736,2681,480,2791,383,2915,363,3019,367,3063,442,4491,9125,4036,9094,3457,5971,3415,5908,3410,5848,3397,5789,3378,5732,3351,5676,3319,5622,3280,5569,3237,5516,3189,5464,3136,5412,3080,5361,3020,5309,2957,5257,2892,5095,2687,5039,2617,4982,2547,4902,2456,4824,2378,4749,2312,4677,2257,4606,2211,4538,2175,4471,2147,4407,2126,4344,2111,4282,2102,4223,2098,4164,2097xe" filled="true" fillcolor="#87a0c1" stroked="false">
              <v:path arrowok="t"/>
              <v:fill type="solid"/>
            </v:shape>
            <v:shape style="position:absolute;left:441;top:4035;width:8714;height:2458" coordorigin="442,4036" coordsize="8714,2458" path="m9125,4036l442,4491,517,5919,500,6080,533,6168,652,6216,891,6256,960,6265,1050,6276,1220,6296,1427,6318,1664,6341,1925,6366,2204,6391,2397,6407,2594,6422,2792,6436,2989,6450,3185,6462,3376,6472,3470,6477,3562,6481,3652,6484,3740,6487,3825,6490,3908,6491,3988,6493,4065,6493,4138,6493,4208,6492,4275,6490,4337,6487,4452,6476,4511,6465,4571,6450,4632,6429,4694,6401,4758,6366,4822,6323,4887,6270,4954,6207,5021,6134,5090,6048,5160,5950,5210,5874,5258,5798,5397,5578,5443,5507,5487,5440,5533,5375,5578,5313,5624,5256,5672,5202,5720,5153,5770,5110,5822,5072,5876,5039,5932,5013,5991,4994,6054,4983,9155,4615,9125,4036xe" filled="true" fillcolor="#3e77a4" stroked="false">
              <v:path arrowok="t"/>
              <v:fill type="solid"/>
            </v:shape>
            <v:shape style="position:absolute;left:9124;top:3969;width:1265;height:755" coordorigin="9125,3970" coordsize="1265,755" path="m10384,3970l9125,4036,9155,4615,9161,4724,10202,4670,10313,4677,10369,4665,10388,4618,10386,4523,10389,4056,10384,3970xe" filled="true" fillcolor="#e4c82a" stroked="false">
              <v:path arrowok="t"/>
              <v:fill type="solid"/>
            </v:shape>
            <v:shape style="position:absolute;left:9088;top:3289;width:1296;height:747" coordorigin="9089,3290" coordsize="1296,747" path="m10159,3290l10129,3293,9089,3347,9125,4036,10384,3970,10380,3884,10328,3420,10293,3331,10226,3295,10159,3290xe" filled="true" fillcolor="#e9d15c" stroked="false">
              <v:path arrowok="t"/>
              <v:fill type="solid"/>
            </v:shape>
            <v:shape style="position:absolute;left:358;top:2112;width:8797;height:4380" coordorigin="359,2112" coordsize="8797,4380" path="m9155,4632l9154,4605,9155,4605,9094,3457,8916,3454,8916,4432,6025,4772,5950,4772,5878,4792,5810,4832,5745,4852,5684,4892,5626,4952,5570,4992,5516,5052,5465,5092,5415,5172,5366,5232,5319,5292,5273,5352,5227,5432,5181,5512,5096,5632,5055,5712,5013,5772,4971,5832,4902,5932,4835,6012,4771,6072,4709,6132,4649,6172,4591,6212,4535,6232,4481,6252,4428,6252,4376,6272,3661,6272,3579,6252,3323,6252,3234,6232,2960,6232,2867,6212,2680,6212,2585,6192,2396,6192,2302,6172,2209,6172,2115,6152,1932,6152,1842,6132,1753,6132,1666,6112,1496,6112,1414,6092,1335,6092,1258,6072,1111,6072,1042,6052,914,6052,855,6032,747,6032,586,2952,637,2952,692,2932,750,2912,811,2912,876,2892,944,2872,1014,2852,1088,2852,1242,2812,1405,2772,1489,2772,2116,2632,2209,2632,2673,2532,2765,2532,3035,2472,3123,2472,3294,2432,3377,2432,3536,2392,3613,2392,3687,2372,3826,2372,3892,2352,4012,2352,4068,2332,4276,2332,4332,2352,4390,2372,4451,2392,4515,2432,4582,2472,4653,2532,4728,2612,4807,2712,4856,2772,4904,2832,4951,2872,5050,3012,5156,3132,5210,3212,5264,3272,5318,3332,5374,3372,5432,3432,5490,3472,5551,3512,5614,3552,5679,3592,5746,3612,5817,3632,5890,3652,5968,3652,8878,3692,8916,4432,8916,3454,8884,3454,8884,3470,5971,3432,5908,3412,5848,3412,5789,3392,5732,3352,5676,3332,5622,3292,5569,3252,5516,3192,5464,3152,5309,2972,5257,2912,5204,2832,5150,2772,5095,2692,5039,2632,4982,2552,4902,2472,4824,2392,4749,2332,4677,2272,4606,2212,4538,2192,4471,2152,4344,2112,3936,2112,3871,2132,3804,2132,3734,2152,3661,2152,3585,2172,3507,2172,3427,2192,3344,2192,3173,2232,3085,2232,2814,2292,2721,2292,2252,2392,2158,2392,1433,2552,1348,2552,1185,2592,1032,2632,959,2632,888,2652,821,2672,757,2692,696,2692,639,2712,586,2712,536,2732,462,2772,405,2812,369,2892,359,2972,520,6032,538,6112,581,6172,644,6232,721,6252,825,6252,884,6272,1010,6272,1079,6292,1150,6292,1224,6312,1381,6312,1462,6332,1546,6332,1632,6352,1809,6352,1900,6372,1992,6372,2084,6392,2273,6392,2368,6412,2463,6412,2559,6432,2750,6432,2845,6452,3033,6452,3125,6472,3396,6472,3483,6492,4452,6492,4632,6432,4694,6412,4758,6372,4822,6332,4887,6272,4954,6212,5021,6152,5090,6052,5160,5952,5210,5892,5258,5812,5306,5732,5352,5652,5397,5592,5443,5512,5533,5392,5578,5332,5624,5272,5672,5212,5720,5172,5770,5112,5822,5072,5932,5032,5991,5012,6054,4992,9155,4632xe" filled="true" fillcolor="#3e77a4" stroked="false">
              <v:path arrowok="t"/>
              <v:fill type="solid"/>
            </v:shape>
            <v:shape style="position:absolute;left:698;top:2875;width:4260;height:3155" coordorigin="698,2875" coordsize="4260,3155" path="m4713,2875l698,3227,944,6030,4958,5678,4713,2875xe" filled="true" fillcolor="#fffcd5" stroked="false">
              <v:path arrowok="t"/>
              <v:fill type="solid"/>
            </v:shape>
            <v:shape style="position:absolute;left:0;top:5749;width:11339;height:11089" coordorigin="0,5749" coordsize="11339,11089" path="m0,5749l0,16838,11339,16838,11339,6779,11092,6710,10832,6642,10560,6576,10349,6528,10132,6483,9908,6439,9680,6398,9445,6360,9206,6325,8962,6294,8713,6267,8679,6264,5369,6264,4971,6260,4480,6247,3999,6226,3438,6190,2899,6146,2304,6086,1677,6011,1049,5924,466,5832,0,5749xm7410,6201l7230,6203,7049,6207,6866,6214,6480,6236,6176,6249,5771,6260,5369,6264,8679,6264,8460,6244,8203,6226,8030,6216,7855,6209,7678,6204,7500,6201,7410,6201xe" filled="true" fillcolor="#0099e5" stroked="false">
              <v:path arrowok="t"/>
              <v:fill type="solid"/>
            </v:shape>
            <v:shape style="position:absolute;left:0;top:7454;width:11339;height:9182" coordorigin="0,7454" coordsize="11339,9182" path="m0,7584l0,16636,11339,16636,11339,8095,4785,8095,4327,8090,3873,8076,3426,8056,2903,8021,2482,7986,2077,7946,1691,7901,1328,7851,1055,7809,800,7766,621,7732,454,7697,349,7674,249,7651,156,7627,68,7603,26,7591,0,7584xm10844,7454l10783,7455,10720,7456,10657,7457,10592,7460,10525,7463,10389,7472,10247,7483,10100,7497,9948,7514,9709,7544,9373,7591,8923,7662,7540,7902,7375,7928,7207,7952,7036,7974,6776,8003,6513,8028,6245,8048,5884,8070,5519,8084,5153,8093,4785,8095,11339,8095,11339,7490,11289,7483,11238,7476,11185,7471,11131,7466,11077,7462,11020,7459,10963,7456,10904,7455,10844,7454xe" filled="true" fillcolor="#16b5f9" stroked="false">
              <v:path arrowok="t"/>
              <v:fill type="solid"/>
            </v:shape>
            <v:shape style="position:absolute;left:0;top:9334;width:11339;height:7301" coordorigin="0,9335" coordsize="11339,7301" path="m0,9372l0,16636,11339,16636,11339,9672,4678,9672,4055,9665,3358,9644,2604,9606,1817,9552,965,9477,136,9388,0,9372xm9552,9335l9469,9335,9300,9338,9126,9344,8947,9353,8764,9365,8577,9380,8385,9398,8188,9420,7987,9446,7612,9499,7354,9531,7094,9560,6831,9586,6476,9614,6118,9636,5669,9656,5218,9668,4678,9672,11339,9672,11339,9509,11226,9486,11110,9464,10989,9443,10864,9424,10735,9406,10602,9390,10465,9376,10324,9363,10178,9353,10028,9345,9874,9339,9715,9336,9552,9335xe" filled="true" fillcolor="#0099e5" stroked="false">
              <v:path arrowok="t"/>
              <v:fill type="solid"/>
            </v:shape>
            <v:shape style="position:absolute;left:653;top:8687;width:964;height:1251" coordorigin="654,8687" coordsize="964,1251" path="m654,8687l654,9938,1618,9848,1618,8777,654,8687xe" filled="true" fillcolor="#3e77a4" stroked="false">
              <v:path arrowok="t"/>
              <v:fill type="solid"/>
            </v:shape>
            <v:shape style="position:absolute;left:1238;top:9312;width:9438;height:2311" coordorigin="1238,9313" coordsize="9438,2311" path="m10675,9313l1238,9313,1238,10086,1790,10086,1790,9909,2659,9909,2680,9981,2703,10051,2728,10121,2755,10190,2785,10258,2816,10324,2850,10390,2885,10454,2923,10517,2962,10578,3003,10638,3046,10697,3091,10755,3137,10811,3186,10865,3236,10918,3287,10969,3340,11019,3395,11067,3451,11114,3508,11158,3567,11201,3628,11242,3689,11281,3752,11319,3817,11354,3882,11387,3949,11419,4016,11448,4085,11475,4155,11500,4226,11523,4298,11543,4371,11562,4444,11578,4519,11591,4594,11603,4670,11611,4747,11618,4825,11622,4903,11623,10441,11623,10515,11611,10579,11578,10630,11527,10663,11462,10675,11388,10675,9313xe" filled="true" fillcolor="#d5583b" stroked="false">
              <v:path arrowok="t"/>
              <v:fill type="solid"/>
            </v:shape>
            <v:shape style="position:absolute;left:1238;top:6973;width:9438;height:2340" coordorigin="1238,6973" coordsize="9438,2340" path="m10441,6973l4903,6973,4825,6975,4747,6978,4670,6985,4594,6994,4519,7005,4444,7018,4371,7034,4298,7053,4226,7073,4155,7096,4085,7121,4016,7148,3949,7177,3882,7209,3817,7242,3752,7277,3689,7315,3628,7354,3567,7395,3508,7438,3451,7482,3395,7529,3340,7577,3287,7627,3236,7678,3186,7731,3137,7785,3091,7841,3046,7899,3003,7958,2962,8018,2923,8080,2885,8142,2850,8207,2816,8272,2785,8338,2755,8406,2728,8475,2703,8545,2680,8615,2659,8687,1790,8687,1790,8510,1238,8510,1238,9313,10675,9313,10675,7208,10664,7134,10630,7069,10579,7019,10515,6985,10441,6973xe" filled="true" fillcolor="#e08668" stroked="false">
              <v:path arrowok="t"/>
              <v:fill type="solid"/>
            </v:shape>
            <v:shape style="position:absolute;left:3799;top:7374;width:6621;height:3783" coordorigin="3799,7375" coordsize="6621,3783" path="m3863,7375l3799,11043,10356,11157,10420,7489,3863,7375xe" filled="true" fillcolor="#fffcd5" stroked="false">
              <v:path arrowok="t"/>
              <v:fill type="solid"/>
            </v:shape>
            <v:shape style="position:absolute;left:0;top:10990;width:11339;height:5646" coordorigin="0,10991" coordsize="11339,5646" path="m0,11026l0,16636,11339,16636,11339,11443,3056,11443,2823,11441,2600,11436,2386,11428,2181,11416,1984,11403,1797,11387,1618,11369,1448,11349,1286,11327,1133,11304,987,11279,850,11253,720,11227,598,11200,484,11172,377,11144,278,11116,231,11102,186,11089,142,11075,101,11061,61,11048,22,11034,0,11026xm10042,10991l9903,10991,9687,10995,9383,11006,8981,11027,8383,11069,5016,11358,4195,11411,3673,11434,3298,11442,3056,11443,11339,11443,11339,11192,11313,11176,11285,11161,11256,11147,11225,11133,11191,11120,11156,11108,11119,11096,11081,11085,11040,11075,10998,11066,10954,11057,10908,11048,10861,11041,10812,11034,10762,11027,10710,11021,10656,11016,10601,11011,10545,11007,10487,11003,10366,10997,10240,10993,10109,10991,10042,10991xe" filled="true" fillcolor="#0075bf" stroked="false">
              <v:path arrowok="t"/>
              <v:fill type="solid"/>
            </v:shape>
            <v:shape style="position:absolute;left:680;top:12315;width:9271;height:1223" coordorigin="680,12316" coordsize="9271,1223" path="m6877,12316l886,12317,806,12333,741,12377,696,12443,680,12523,681,13534,681,13524,681,13534,681,13538,9951,13538,9951,13075,7732,12938,7704,12903,7674,12862,7607,12770,7568,12720,7526,12669,7479,12618,7428,12567,7370,12518,7307,12472,7237,12429,7159,12391,7074,12359,6980,12334,6877,12316xe" filled="true" fillcolor="#8bb5a7" stroked="false">
              <v:path arrowok="t"/>
              <v:fill type="solid"/>
            </v:shape>
            <v:shape style="position:absolute;left:680;top:13537;width:9271;height:1213" coordorigin="681,13538" coordsize="9271,1213" path="m9951,13538l681,13538,681,13541,681,13538,681,14544,697,14624,741,14690,807,14734,887,14750,6877,14750,6980,14732,7074,14707,7159,14675,7237,14637,7307,14595,7370,14548,7428,14499,7479,14449,7526,14397,7568,14346,7607,14296,7674,14204,7704,14163,7732,14128,9951,13991,9951,13538xe" filled="true" fillcolor="#3b957d" stroked="false">
              <v:path arrowok="t"/>
              <v:fill type="solid"/>
            </v:shape>
            <v:shape style="position:absolute;left:9842;top:13043;width:786;height:988" coordorigin="9842,13044" coordsize="786,988" path="m10047,13044l9842,13044,9842,14032,10047,14032,10047,13044xm10627,13248l10611,13169,10567,13104,10502,13060,10423,13044,10423,14032,10502,14016,10567,13972,10611,13907,10627,13827,10627,13248xe" filled="true" fillcolor="#6c4180" stroked="false">
              <v:path arrowok="t"/>
              <v:fill type="solid"/>
            </v:shape>
            <v:rect style="position:absolute;left:10046;top:12964;width:377;height:1147" filled="true" fillcolor="#734fa0" stroked="false">
              <v:fill type="solid"/>
            </v:rect>
            <v:shape style="position:absolute;left:1247;top:12516;width:5795;height:1979" coordorigin="1247,12516" coordsize="5795,1979" path="m7009,12516l1247,12617,1280,14495,7042,14395,7009,12516xe" filled="true" fillcolor="#fffcd5" stroked="false">
              <v:path arrowok="t"/>
              <v:fill type="solid"/>
            </v:shape>
            <v:shape style="position:absolute;left:0;top:13777;width:11339;height:3060" coordorigin="0,13778" coordsize="11339,3060" path="m0,13778l0,16838,11339,16838,11339,14820,5009,14820,4914,14819,4820,14818,4631,14811,4442,14801,4253,14788,4066,14771,3879,14752,3693,14729,3508,14704,3325,14677,3144,14647,2876,14598,2613,14546,2356,14490,2106,14431,1864,14370,1554,14287,1260,14202,985,14119,670,14017,390,13921,310,13892,64,13802,0,13778xm10104,13837l10069,13838,10034,13840,9997,13844,9959,13849,9919,13856,9879,13863,9837,13872,9794,13882,9750,13892,9704,13904,9657,13917,9559,13945,9456,13976,8708,14215,8407,14306,8162,14375,7991,14420,7811,14465,7624,14509,7430,14552,7227,14593,7016,14631,6797,14668,6570,14702,6334,14733,6089,14760,5836,14784,5573,14803,5479,14809,5386,14813,5292,14816,5197,14819,5103,14820,5009,14820,11339,14820,11339,13962,11284,13940,11220,13923,11150,13910,11073,13902,10992,13896,10908,13892,10561,13885,10479,13881,10400,13875,10327,13866,10260,13852,10231,13846,10201,13842,10170,13838,10137,13837,10104,13837xe" filled="true" fillcolor="#00549e" stroked="false">
              <v:path arrowok="t"/>
              <v:fill type="solid"/>
            </v:shape>
            <w10:wrap type="none"/>
          </v:group>
        </w:pict>
      </w:r>
      <w:r>
        <w:rPr/>
        <w:pict>
          <v:shape style="position:absolute;margin-left:206.35675pt;margin-top:380.357574pt;width:59.15pt;height:12.4pt;mso-position-horizontal-relative:page;mso-position-vertical-relative:page;z-index:15815168;rotation:1" type="#_x0000_t136" fillcolor="#231f20" stroked="f">
            <o:extrusion v:ext="view" autorotationcenter="t"/>
            <v:textpath style="font-family:&quot;Times New Roman&quot;;font-size:12pt;v-text-kern:t;mso-text-shadow:auto;font-style:italic" string="Cwm Taf"/>
            <w10:wrap type="none"/>
          </v:shape>
        </w:pict>
      </w:r>
      <w:r>
        <w:rPr/>
        <w:pict>
          <v:shape style="position:absolute;margin-left:205.978088pt;margin-top:403.020874pt;width:282.150pt;height:12.4pt;mso-position-horizontal-relative:page;mso-position-vertical-relative:page;z-index:15815680;rotation:1" type="#_x0000_t136" fillcolor="#231f20" stroked="f">
            <o:extrusion v:ext="view" autorotationcenter="t"/>
            <v:textpath style="font-family:&quot;Times New Roman&quot;;font-size:12pt;v-text-kern:t;mso-text-shadow:auto;font-style:italic" string="We offer children and adults opportunities to"/>
            <w10:wrap type="none"/>
          </v:shape>
        </w:pict>
      </w:r>
      <w:r>
        <w:rPr/>
        <w:pict>
          <v:shape style="position:absolute;margin-left:205.702454pt;margin-top:418.843414pt;width:289.05pt;height:12.4pt;mso-position-horizontal-relative:page;mso-position-vertical-relative:page;z-index:15816192;rotation:1" type="#_x0000_t136" fillcolor="#231f20" stroked="f">
            <o:extrusion v:ext="view" autorotationcenter="t"/>
            <v:textpath style="font-family:&quot;Times New Roman&quot;;font-size:12pt;v-text-kern:t;mso-text-shadow:auto;font-style:italic" string="participate in our work. Anyone who would like"/>
            <w10:wrap type="none"/>
          </v:shape>
        </w:pict>
      </w:r>
      <w:r>
        <w:rPr/>
        <w:pict>
          <v:shape style="position:absolute;margin-left:205.427704pt;margin-top:434.565063pt;width:284.45pt;height:12.4pt;mso-position-horizontal-relative:page;mso-position-vertical-relative:page;z-index:15816704;rotation:1" type="#_x0000_t136" fillcolor="#231f20" stroked="f">
            <o:extrusion v:ext="view" autorotationcenter="t"/>
            <v:textpath style="font-family:&quot;Times New Roman&quot;;font-size:12pt;v-text-kern:t;mso-text-shadow:auto;font-style:italic" string="to be involved in our work should contact our"/>
            <w10:wrap type="none"/>
          </v:shape>
        </w:pict>
      </w:r>
      <w:r>
        <w:rPr/>
        <w:pict>
          <v:shape style="position:absolute;margin-left:205.153168pt;margin-top:450.262207pt;width:277pt;height:12.4pt;mso-position-horizontal-relative:page;mso-position-vertical-relative:page;z-index:15817216;rotation:1" type="#_x0000_t136" fillcolor="#231f20" stroked="f">
            <o:extrusion v:ext="view" autorotationcenter="t"/>
            <v:textpath style="font-family:&quot;Times New Roman&quot;;font-size:12pt;v-text-kern:t;mso-text-shadow:auto;font-style:italic" string="Business Management Unit. Our Multi Agency"/>
            <w10:wrap type="none"/>
          </v:shape>
        </w:pict>
      </w:r>
      <w:r>
        <w:rPr/>
        <w:pict>
          <v:shape style="position:absolute;margin-left:204.876694pt;margin-top:466.171753pt;width:293.9pt;height:12.4pt;mso-position-horizontal-relative:page;mso-position-vertical-relative:page;z-index:15817728;rotation:1" type="#_x0000_t136" fillcolor="#231f20" stroked="f">
            <o:extrusion v:ext="view" autorotationcenter="t"/>
            <v:textpath style="font-family:&quot;Times New Roman&quot;;font-size:12pt;v-text-kern:t;mso-text-shadow:auto;font-style:italic" string="Safeguarding Hub co-locates the police, health,"/>
            <w10:wrap type="none"/>
          </v:shape>
        </w:pict>
      </w:r>
      <w:r>
        <w:rPr/>
        <w:pict>
          <v:shape style="position:absolute;margin-left:204.603119pt;margin-top:481.75882pt;width:273.850pt;height:12.4pt;mso-position-horizontal-relative:page;mso-position-vertical-relative:page;z-index:15818240;rotation:1" type="#_x0000_t136" fillcolor="#231f20" stroked="f">
            <o:extrusion v:ext="view" autorotationcenter="t"/>
            <v:textpath style="font-family:&quot;Times New Roman&quot;;font-size:12pt;v-text-kern:t;mso-text-shadow:auto;font-style:italic" string="social care and domestic abuse practitioners"/>
            <w10:wrap type="none"/>
          </v:shape>
        </w:pict>
      </w:r>
      <w:r>
        <w:rPr/>
        <w:pict>
          <v:shape style="position:absolute;margin-left:204.330887pt;margin-top:497.191895pt;width:236.15pt;height:12.4pt;mso-position-horizontal-relative:page;mso-position-vertical-relative:page;z-index:15818752;rotation:1" type="#_x0000_t136" fillcolor="#231f20" stroked="f">
            <o:extrusion v:ext="view" autorotationcenter="t"/>
            <v:textpath style="font-family:&quot;Times New Roman&quot;;font-size:12pt;v-text-kern:t;mso-text-shadow:auto;font-style:italic" string="and makes discussion easier. Our case"/>
            <w10:wrap type="none"/>
          </v:shape>
        </w:pict>
      </w:r>
      <w:r>
        <w:rPr/>
        <w:pict>
          <v:shape style="position:absolute;margin-left:204.052765pt;margin-top:513.288574pt;width:274.45pt;height:12.4pt;mso-position-horizontal-relative:page;mso-position-vertical-relative:page;z-index:15819264;rotation:1" type="#_x0000_t136" fillcolor="#231f20" stroked="f">
            <o:extrusion v:ext="view" autorotationcenter="t"/>
            <v:textpath style="font-family:&quot;Times New Roman&quot;;font-size:12pt;v-text-kern:t;mso-text-shadow:auto;font-style:italic" string="studies reflect our interest in the impact of"/>
            <w10:wrap type="none"/>
          </v:shape>
        </w:pict>
      </w:r>
      <w:r>
        <w:rPr/>
        <w:pict>
          <v:shape style="position:absolute;margin-left:203.77861pt;margin-top:528.942139pt;width:262pt;height:12.4pt;mso-position-horizontal-relative:page;mso-position-vertical-relative:page;z-index:15819776;rotation:1" type="#_x0000_t136" fillcolor="#231f20" stroked="f">
            <o:extrusion v:ext="view" autorotationcenter="t"/>
            <v:textpath style="font-family:&quot;Times New Roman&quot;;font-size:12pt;v-text-kern:t;mso-text-shadow:auto;font-style:italic" string="safeguarding interventions on people’s lives."/>
            <w10:wrap type="none"/>
          </v:shape>
        </w:pict>
      </w:r>
      <w:r>
        <w:rPr/>
        <w:pict>
          <v:shape style="position:absolute;margin-left:573.765198pt;margin-top:182.052719pt;width:15.7pt;height:477.8pt;mso-position-horizontal-relative:page;mso-position-vertical-relative:page;z-index:15820288"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pict>
          <v:shape style="position:absolute;margin-left:42.84137pt;margin-top:163.806824pt;width:113.55pt;height:11.95pt;mso-position-horizontal-relative:page;mso-position-vertical-relative:page;z-index:15820800;rotation:356" type="#_x0000_t136" fillcolor="#231f20" stroked="f">
            <o:extrusion v:ext="view" autorotationcenter="t"/>
            <v:textpath style="font-family:&quot;Times New Roman&quot;;font-size:12pt;v-text-kern:t;mso-text-shadow:auto;font-style:italic" string="Cardiff and Vale"/>
            <w10:wrap type="none"/>
          </v:shape>
        </w:pict>
      </w:r>
      <w:r>
        <w:rPr/>
        <w:pict>
          <v:shape style="position:absolute;margin-left:44.456131pt;margin-top:181.036514pt;width:173.7pt;height:11.95pt;mso-position-horizontal-relative:page;mso-position-vertical-relative:page;z-index:15821312;rotation:356" type="#_x0000_t136" fillcolor="#231f20" stroked="f">
            <o:extrusion v:ext="view" autorotationcenter="t"/>
            <v:textpath style="font-family:&quot;Times New Roman&quot;;font-size:12pt;v-text-kern:t;mso-text-shadow:auto;font-style:italic" string="All the organisations who are"/>
            <w10:wrap type="none"/>
          </v:shape>
        </w:pict>
      </w:r>
      <w:r>
        <w:rPr/>
        <w:pict>
          <v:shape style="position:absolute;margin-left:45.779831pt;margin-top:196.198502pt;width:172.3pt;height:11.95pt;mso-position-horizontal-relative:page;mso-position-vertical-relative:page;z-index:15821824;rotation:356" type="#_x0000_t136" fillcolor="#231f20" stroked="f">
            <o:extrusion v:ext="view" autorotationcenter="t"/>
            <v:textpath style="font-family:&quot;Times New Roman&quot;;font-size:12pt;v-text-kern:t;mso-text-shadow:auto;font-style:italic" string="Board members contribute to"/>
            <w10:wrap type="none"/>
          </v:shape>
        </w:pict>
      </w:r>
      <w:r>
        <w:rPr/>
        <w:pict>
          <v:shape style="position:absolute;margin-left:47.107506pt;margin-top:211.452881pt;width:168.8pt;height:11.95pt;mso-position-horizontal-relative:page;mso-position-vertical-relative:page;z-index:15822336;rotation:356" type="#_x0000_t136" fillcolor="#231f20" stroked="f">
            <o:extrusion v:ext="view" autorotationcenter="t"/>
            <v:textpath style="font-family:&quot;Times New Roman&quot;;font-size:12pt;v-text-kern:t;mso-text-shadow:auto;font-style:italic" string="a bulletin about safeguarding"/>
            <w10:wrap type="none"/>
          </v:shape>
        </w:pict>
      </w:r>
      <w:r>
        <w:rPr/>
        <w:pict>
          <v:shape style="position:absolute;margin-left:48.414295pt;margin-top:226.208969pt;width:176.75pt;height:11.95pt;mso-position-horizontal-relative:page;mso-position-vertical-relative:page;z-index:15822848;rotation:356" type="#_x0000_t136" fillcolor="#231f20" stroked="f">
            <o:extrusion v:ext="view" autorotationcenter="t"/>
            <v:textpath style="font-family:&quot;Times New Roman&quot;;font-size:12pt;v-text-kern:t;mso-text-shadow:auto;font-style:italic" string="children and adults at risk and"/>
            <w10:wrap type="none"/>
          </v:shape>
        </w:pict>
      </w:r>
      <w:r>
        <w:rPr/>
        <w:pict>
          <v:shape style="position:absolute;margin-left:49.742687pt;margin-top:241.480484pt;width:172.9pt;height:11.95pt;mso-position-horizontal-relative:page;mso-position-vertical-relative:page;z-index:15823360;rotation:356" type="#_x0000_t136" fillcolor="#231f20" stroked="f">
            <o:extrusion v:ext="view" autorotationcenter="t"/>
            <v:textpath style="font-family:&quot;Times New Roman&quot;;font-size:12pt;v-text-kern:t;mso-text-shadow:auto;font-style:italic" string="our partner agencies regularly"/>
            <w10:wrap type="none"/>
          </v:shape>
        </w:pict>
      </w:r>
      <w:r>
        <w:rPr/>
        <w:pict>
          <v:shape style="position:absolute;margin-left:51.116917pt;margin-top:257.845642pt;width:143.9pt;height:11.95pt;mso-position-horizontal-relative:page;mso-position-vertical-relative:page;z-index:15823872;rotation:356" type="#_x0000_t136" fillcolor="#231f20" stroked="f">
            <o:extrusion v:ext="view" autorotationcenter="t"/>
            <v:textpath style="font-family:&quot;Times New Roman&quot;;font-size:12pt;v-text-kern:t;mso-text-shadow:auto;font-style:italic" string="share relevant inspection"/>
            <w10:wrap type="none"/>
          </v:shape>
        </w:pict>
      </w:r>
      <w:r>
        <w:rPr/>
        <w:pict>
          <v:shape style="position:absolute;margin-left:52.61544pt;margin-top:277.178711pt;width:46.85pt;height:11.95pt;mso-position-horizontal-relative:page;mso-position-vertical-relative:page;z-index:15824384;rotation:356" type="#_x0000_t136" fillcolor="#231f20" stroked="f">
            <o:extrusion v:ext="view" autorotationcenter="t"/>
            <v:textpath style="font-family:&quot;Times New Roman&quot;;font-size:12pt;v-text-kern:t;mso-text-shadow:auto;font-style:italic" string="reports."/>
            <w10:wrap type="none"/>
          </v:shape>
        </w:pict>
      </w:r>
      <w:r>
        <w:rPr/>
        <w:pict>
          <v:shape style="position:absolute;margin-left:74.487389pt;margin-top:639.858215pt;width:36.85pt;height:10.9pt;mso-position-horizontal-relative:page;mso-position-vertical-relative:page;z-index:15824896;rotation:359" type="#_x0000_t136" fillcolor="#231f20" stroked="f">
            <o:extrusion v:ext="view" autorotationcenter="t"/>
            <v:textpath style="font-family:&quot;Times New Roman&quot;;font-size:10pt;v-text-kern:t;mso-text-shadow:auto;font-style:italic" string="Gwent"/>
            <w10:wrap type="none"/>
          </v:shape>
        </w:pict>
      </w:r>
      <w:r>
        <w:rPr/>
        <w:pict>
          <v:shape style="position:absolute;margin-left:74.810829pt;margin-top:657.466187pt;width:248.1pt;height:10.9pt;mso-position-horizontal-relative:page;mso-position-vertical-relative:page;z-index:15825408;rotation:359" type="#_x0000_t136" fillcolor="#231f20" stroked="f">
            <o:extrusion v:ext="view" autorotationcenter="t"/>
            <v:textpath style="font-family:&quot;Times New Roman&quot;;font-size:10pt;v-text-kern:t;mso-text-shadow:auto;font-style:italic" string="We have developed, reviewed and facilitated our"/>
            <w10:wrap type="none"/>
          </v:shape>
        </w:pict>
      </w:r>
      <w:r>
        <w:rPr/>
        <w:pict>
          <v:shape style="position:absolute;margin-left:75.051971pt;margin-top:671.242737pt;width:256.8pt;height:10.9pt;mso-position-horizontal-relative:page;mso-position-vertical-relative:page;z-index:15825920;rotation:359" type="#_x0000_t136" fillcolor="#231f20" stroked="f">
            <o:extrusion v:ext="view" autorotationcenter="t"/>
            <v:textpath style="font-family:&quot;Times New Roman&quot;;font-size:10pt;v-text-kern:t;mso-text-shadow:auto;font-style:italic" string="Board’s generic training programme. Our standing"/>
            <w10:wrap type="none"/>
          </v:shape>
        </w:pict>
      </w:r>
      <w:r>
        <w:rPr/>
        <w:pict>
          <v:shape style="position:absolute;margin-left:75.293373pt;margin-top:685.049194pt;width:262.05pt;height:10.9pt;mso-position-horizontal-relative:page;mso-position-vertical-relative:page;z-index:15826432;rotation:359" type="#_x0000_t136" fillcolor="#231f20" stroked="f">
            <o:extrusion v:ext="view" autorotationcenter="t"/>
            <v:textpath style="font-family:&quot;Times New Roman&quot;;font-size:10pt;v-text-kern:t;mso-text-shadow:auto;font-style:italic" string="agenda item of Hot Topics means that the Board"/>
            <w10:wrap type="none"/>
          </v:shape>
        </w:pict>
      </w:r>
      <w:r>
        <w:rPr/>
        <w:pict>
          <v:shape style="position:absolute;margin-left:75.544823pt;margin-top:700.007751pt;width:135.3pt;height:10.9pt;mso-position-horizontal-relative:page;mso-position-vertical-relative:page;z-index:15826944;rotation:359" type="#_x0000_t136" fillcolor="#231f20" stroked="f">
            <o:extrusion v:ext="view" autorotationcenter="t"/>
            <v:textpath style="font-family:&quot;Times New Roman&quot;;font-size:10pt;v-text-kern:t;mso-text-shadow:auto;font-style:italic" string="knows what is happening."/>
            <w10:wrap type="none"/>
          </v:shape>
        </w:pict>
      </w:r>
      <w:r>
        <w:rPr>
          <w:color w:val="231F20"/>
          <w:sz w:val="16"/>
        </w:rPr>
        <w:t>Annual Report 2017-18</w:t>
        <w:tab/>
        <w:t>31</w:t>
      </w:r>
    </w:p>
    <w:p>
      <w:pPr>
        <w:spacing w:after="0"/>
        <w:jc w:val="left"/>
        <w:rPr>
          <w:sz w:val="16"/>
        </w:rPr>
        <w:sectPr>
          <w:pgSz w:w="11910" w:h="16840"/>
          <w:pgMar w:top="580" w:bottom="280" w:left="320" w:right="560"/>
        </w:sectPr>
      </w:pPr>
    </w:p>
    <w:p>
      <w:pPr>
        <w:tabs>
          <w:tab w:pos="7398" w:val="left" w:leader="none"/>
        </w:tabs>
        <w:spacing w:before="82"/>
        <w:ind w:left="927" w:right="0" w:firstLine="0"/>
        <w:jc w:val="left"/>
        <w:rPr>
          <w:sz w:val="16"/>
        </w:rPr>
      </w:pPr>
      <w:r>
        <w:rPr/>
        <w:pict>
          <v:group style="position:absolute;margin-left:0pt;margin-top:0pt;width:595.3pt;height:841.9pt;mso-position-horizontal-relative:page;mso-position-vertical-relative:page;z-index:-17749504" coordorigin="0,0" coordsize="11906,16838">
            <v:rect style="position:absolute;left:0;top:0;width:567;height:16838" filled="true" fillcolor="#3b957d" stroked="false">
              <v:fill type="solid"/>
            </v:rect>
            <v:rect style="position:absolute;left:566;top:5555;width:11339;height:11282" filled="true" fillcolor="#7cd3f9" stroked="false">
              <v:fill type="solid"/>
            </v:rect>
            <v:shape style="position:absolute;left:566;top:6722;width:11339;height:10116" coordorigin="567,6723" coordsize="11339,10116" path="m8401,6723l8221,6723,7242,6735,6202,6767,5113,6822,3990,6899,2853,6999,1723,7120,567,7266,567,16838,11906,16838,11906,6780,10272,6755,9129,6728,8401,6723xe" filled="true" fillcolor="#0099e5" stroked="false">
              <v:path arrowok="t"/>
              <v:fill type="solid"/>
            </v:shape>
            <v:shape style="position:absolute;left:566;top:8567;width:11339;height:8271" coordorigin="567,8568" coordsize="11339,8271" path="m1566,8568l1505,8568,1210,8572,931,8580,719,8591,567,8602,567,16838,11906,16838,11906,9155,10426,9115,9270,9062,8326,9002,4460,8694,3227,8617,2489,8585,1946,8571,1566,8568xe" filled="true" fillcolor="#16b5f9" stroked="false">
              <v:path arrowok="t"/>
              <v:fill type="solid"/>
            </v:shape>
            <v:shape style="position:absolute;left:566;top:10336;width:11339;height:6502" coordorigin="567,10336" coordsize="11339,6502" path="m4100,10336l3853,10337,3066,10349,2334,10374,1655,10411,1090,10452,567,10500,567,16838,11906,16838,11906,10638,10115,10593,8704,10531,6651,10405,5689,10364,4783,10342,4100,10336xe" filled="true" fillcolor="#0099e5" stroked="false">
              <v:path arrowok="t"/>
              <v:fill type="solid"/>
            </v:shape>
            <v:shape style="position:absolute;left:566;top:11893;width:11339;height:4945" coordorigin="567,11894" coordsize="11339,4945" path="m3180,11894l2578,11898,2091,11911,1758,11926,1503,11942,1314,11958,1182,11971,1058,11986,980,11996,905,12008,835,12020,768,12033,706,12046,647,12060,567,12083,567,16838,11906,16838,11906,12191,5448,11933,3834,11898,3180,11894xe" filled="true" fillcolor="#0075bf" stroked="false">
              <v:path arrowok="t"/>
              <v:fill type="solid"/>
            </v:shape>
            <v:shape style="position:absolute;left:1055;top:4835;width:10851;height:5227" coordorigin="1055,4835" coordsize="10851,5227" path="m5747,4835l5652,4837,5555,4839,5457,4844,5327,4851,5200,4859,5075,4868,4952,4878,4832,4889,4714,4900,4598,4912,4484,4925,4373,4938,4264,4952,4157,4967,4053,4982,3950,4998,3850,5015,3752,5032,3656,5049,3562,5067,3470,5086,3381,5105,3293,5124,3207,5144,3124,5164,3042,5185,2962,5206,2885,5227,2809,5248,2735,5270,2663,5292,2593,5314,2524,5336,2458,5358,2393,5381,2330,5404,2269,5426,2210,5449,2152,5472,2096,5495,1989,5541,1889,5586,1796,5631,1708,5676,1627,5719,1552,5762,1482,5803,1419,5843,1325,5910,1268,5962,1217,6020,1172,6083,1134,6149,1103,6220,1080,6293,1064,6369,1055,6446,1055,6525,1241,10062,11906,9503,11906,8641,11896,8641,11854,8636,11771,8623,11689,8605,11609,8581,11530,8552,11453,8518,11376,8480,11301,8437,11227,8389,11154,8338,11081,8282,11009,8223,10937,8161,10866,8095,10794,8025,10723,7953,10652,7879,10581,7801,10510,7721,10438,7639,10330,7513,9955,7068,9837,6930,9757,6837,9675,6744,9592,6652,9507,6559,9464,6513,9420,6467,9376,6421,9331,6375,9286,6330,9240,6284,9193,6239,9146,6194,9099,6150,9051,6106,9002,6062,8953,6018,8903,5975,8852,5932,8801,5890,8749,5848,8696,5807,8642,5766,8588,5726,8533,5686,8477,5647,8421,5609,8364,5571,8306,5534,8247,5497,8187,5461,8126,5426,8065,5392,8003,5358,7939,5325,7875,5294,7810,5262,7744,5232,7677,5203,7609,5175,7540,5147,7471,5121,7400,5095,7328,5071,7255,5048,7181,5025,7106,5004,7030,4984,6952,4965,6874,4948,6794,4931,6714,4916,6632,4902,6549,4889,6465,4878,6380,4867,6293,4859,6205,4851,6116,4845,6026,4840,5934,4837,5841,4836,5747,4835xe" filled="true" fillcolor="#876baf" stroked="false">
              <v:path arrowok="t"/>
              <v:fill type="solid"/>
            </v:shape>
            <v:shape style="position:absolute;left:1240;top:9503;width:10665;height:5331" coordorigin="1241,9503" coordsize="10665,5331" path="m11906,9503l1241,10062,1426,13605,1435,13684,1451,13760,1475,13834,1506,13905,1545,13971,1590,14034,1641,14092,1698,14144,1761,14190,1829,14230,1894,14262,1965,14296,2041,14330,2123,14364,2212,14399,2307,14433,2408,14468,2516,14502,2630,14536,2690,14552,2751,14569,2814,14585,2879,14601,2946,14616,3014,14631,3084,14646,3156,14661,3230,14675,3306,14688,3384,14701,3463,14714,3545,14726,3628,14738,3713,14749,3800,14760,3889,14770,3981,14779,4074,14788,4169,14796,4266,14803,4365,14810,4467,14816,4570,14821,4675,14825,4783,14828,4893,14831,5005,14833,5119,14833,5235,14833,5353,14832,5474,14830,5597,14827,5722,14823,5850,14818,5979,14811,6077,14805,6174,14798,6269,14789,6363,14779,6455,14768,6546,14755,6635,14741,6723,14726,6809,14709,6894,14691,6978,14672,7061,14652,7142,14631,7222,14608,7300,14585,7378,14560,7454,14534,7529,14507,7602,14479,7675,14450,7746,14420,7816,14390,7885,14358,7953,14325,8020,14292,8085,14257,8150,14222,8213,14186,8276,14149,8337,14111,8398,14073,8457,14034,8516,13994,8573,13953,8630,13912,8685,13870,8740,13828,8794,13784,8847,13741,8899,13697,8951,13652,9001,13607,9051,13561,9100,13515,9148,13468,9195,13421,9242,13374,9288,13326,9333,13278,9378,13229,9422,13181,9465,13132,9507,13083,9549,13033,9591,12983,9632,12933,9672,12883,9712,12833,9751,12783,9790,12733,9828,12682,9903,12581,9976,12480,10048,12379,10118,12279,10220,12129,10514,11694,10609,11556,10672,11466,10735,11378,10798,11292,10860,11209,10923,11128,10987,11051,11050,10976,11115,10905,11180,10836,11246,10772,11313,10711,11381,10654,11451,10601,11522,10553,11595,10509,11669,10470,11745,10435,11823,10406,11906,10381,11906,9503xe" filled="true" fillcolor="#734fa0" stroked="false">
              <v:path arrowok="t"/>
              <v:fill type="solid"/>
            </v:shape>
            <v:shape style="position:absolute;left:1423;top:6031;width:7528;height:7578" coordorigin="1424,6031" coordsize="7528,7578" path="m8696,6031l1424,6285,1680,13609,8951,13355,8696,6031xe" filled="true" fillcolor="#fffcd5" stroked="false">
              <v:path arrowok="t"/>
              <v:fill type="solid"/>
            </v:shape>
            <v:shape style="position:absolute;left:566;top:13404;width:11339;height:3434" coordorigin="567,13404" coordsize="11339,3434" path="m3017,13404l2947,13405,2880,13407,2815,13410,2752,13416,2654,13426,2583,13432,2508,13437,2430,13441,2350,13444,2181,13449,1204,13461,1039,13468,961,13472,885,13478,813,13484,745,13492,681,13501,622,13511,567,13522,567,16838,11906,16838,11906,14307,10864,14263,9863,14202,8939,14129,7986,14037,7031,13926,5788,13756,4121,13506,3815,13466,3626,13444,3492,13430,3364,13419,3283,13414,3204,13409,3127,13406,3053,13404,3017,13404xe" filled="true" fillcolor="#00549e" stroked="false">
              <v:path arrowok="t"/>
              <v:fill type="solid"/>
            </v:shape>
            <w10:wrap type="none"/>
          </v:group>
        </w:pict>
      </w:r>
      <w:r>
        <w:rPr/>
        <w:pict>
          <v:shape style="position:absolute;margin-left:7.0315pt;margin-top:182.052505pt;width:15.7pt;height:477.8pt;mso-position-horizontal-relative:page;mso-position-vertical-relative:page;z-index:-17748992"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pict>
          <v:shape style="position:absolute;margin-left:83.597771pt;margin-top:343.869507pt;width:325.650pt;height:10.1pt;mso-position-horizontal-relative:page;mso-position-vertical-relative:page;z-index:15828480;rotation:358" type="#_x0000_t136" fillcolor="#231f20" stroked="f">
            <o:extrusion v:ext="view" autorotationcenter="t"/>
            <v:textpath style="font-family:&quot;Times New Roman&quot;;font-size:10pt;v-text-kern:t;mso-text-shadow:auto;font-style:italic" string="Hywel Dda University Health Board’s audit of pressure ulcers on"/>
            <w10:wrap type="none"/>
          </v:shape>
        </w:pict>
      </w:r>
      <w:r>
        <w:rPr/>
        <w:pict>
          <v:shape style="position:absolute;margin-left:84.016861pt;margin-top:355.768372pt;width:337.45pt;height:10.1pt;mso-position-horizontal-relative:page;mso-position-vertical-relative:page;z-index:15828992;rotation:358" type="#_x0000_t136" fillcolor="#231f20" stroked="f">
            <o:extrusion v:ext="view" autorotationcenter="t"/>
            <v:textpath style="font-family:&quot;Times New Roman&quot;;font-size:10pt;v-text-kern:t;mso-text-shadow:auto;font-style:italic" string="our behalf has resulted in routine referrals no longer being made to"/>
            <w10:wrap type="none"/>
          </v:shape>
        </w:pict>
      </w:r>
      <w:r>
        <w:rPr/>
        <w:pict>
          <v:shape style="position:absolute;margin-left:84.440697pt;margin-top:367.938568pt;width:333.75pt;height:10.1pt;mso-position-horizontal-relative:page;mso-position-vertical-relative:page;z-index:15829504;rotation:358" type="#_x0000_t136" fillcolor="#231f20" stroked="f">
            <o:extrusion v:ext="view" autorotationcenter="t"/>
            <v:textpath style="font-family:&quot;Times New Roman&quot;;font-size:10pt;v-text-kern:t;mso-text-shadow:auto;font-style:italic" string="adult safeguarding. Dyfed Powys Police has improved its responses"/>
            <w10:wrap type="none"/>
          </v:shape>
        </w:pict>
      </w:r>
      <w:r>
        <w:rPr/>
        <w:pict>
          <v:shape style="position:absolute;margin-left:84.86216pt;margin-top:379.967407pt;width:338.1pt;height:10.1pt;mso-position-horizontal-relative:page;mso-position-vertical-relative:page;z-index:15830016;rotation:358" type="#_x0000_t136" fillcolor="#231f20" stroked="f">
            <o:extrusion v:ext="view" autorotationcenter="t"/>
            <v:textpath style="font-family:&quot;Times New Roman&quot;;font-size:10pt;v-text-kern:t;mso-text-shadow:auto;font-style:italic" string="to high risk domestic abuse incidents and victims – with a resulting"/>
            <w10:wrap type="none"/>
          </v:shape>
        </w:pict>
      </w:r>
      <w:r>
        <w:rPr/>
        <w:pict>
          <v:shape style="position:absolute;margin-left:85.285255pt;margin-top:392.094971pt;width:336.85pt;height:10.1pt;mso-position-horizontal-relative:page;mso-position-vertical-relative:page;z-index:15830528;rotation:358" type="#_x0000_t136" fillcolor="#231f20" stroked="f">
            <o:extrusion v:ext="view" autorotationcenter="t"/>
            <v:textpath style="font-family:&quot;Times New Roman&quot;;font-size:10pt;v-text-kern:t;mso-text-shadow:auto;font-style:italic" string="increase in prosecution rates; Carmarthenshire County Council has"/>
            <w10:wrap type="none"/>
          </v:shape>
        </w:pict>
      </w:r>
      <w:r>
        <w:rPr/>
        <w:pict>
          <v:shape style="position:absolute;margin-left:85.706512pt;margin-top:404.117676pt;width:341.55pt;height:10.1pt;mso-position-horizontal-relative:page;mso-position-vertical-relative:page;z-index:15831040;rotation:358" type="#_x0000_t136" fillcolor="#231f20" stroked="f">
            <o:extrusion v:ext="view" autorotationcenter="t"/>
            <v:textpath style="font-family:&quot;Times New Roman&quot;;font-size:10pt;v-text-kern:t;mso-text-shadow:auto;font-style:italic" string="led the development of a multi-agency, Adult Safeguarding Threshold"/>
            <w10:wrap type="none"/>
          </v:shape>
        </w:pict>
      </w:r>
      <w:r>
        <w:rPr/>
        <w:pict>
          <v:shape style="position:absolute;margin-left:86.128242pt;margin-top:416.16748pt;width:344.75pt;height:10.1pt;mso-position-horizontal-relative:page;mso-position-vertical-relative:page;z-index:15831552;rotation:358" type="#_x0000_t136" fillcolor="#231f20" stroked="f">
            <o:extrusion v:ext="view" autorotationcenter="t"/>
            <v:textpath style="font-family:&quot;Times New Roman&quot;;font-size:10pt;v-text-kern:t;mso-text-shadow:auto;font-style:italic" string="Guidance document; Pembrokeshire County Council has worked with"/>
            <w10:wrap type="none"/>
          </v:shape>
        </w:pict>
      </w:r>
      <w:r>
        <w:rPr/>
        <w:pict>
          <v:shape style="position:absolute;margin-left:86.558525pt;margin-top:428.701416pt;width:320.2pt;height:10.1pt;mso-position-horizontal-relative:page;mso-position-vertical-relative:page;z-index:15832064;rotation:358" type="#_x0000_t136" fillcolor="#231f20" stroked="f">
            <o:extrusion v:ext="view" autorotationcenter="t"/>
            <v:textpath style="font-family:&quot;Times New Roman&quot;;font-size:10pt;v-text-kern:t;mso-text-shadow:auto;font-style:italic" string="Dyfed Powys Police to safeguard children and young people who"/>
            <w10:wrap type="none"/>
          </v:shape>
        </w:pict>
      </w:r>
      <w:r>
        <w:rPr/>
        <w:pict>
          <v:shape style="position:absolute;margin-left:86.977692pt;margin-top:440.604065pt;width:331.8pt;height:10.1pt;mso-position-horizontal-relative:page;mso-position-vertical-relative:page;z-index:15832576;rotation:358" type="#_x0000_t136" fillcolor="#231f20" stroked="f">
            <o:extrusion v:ext="view" autorotationcenter="t"/>
            <v:textpath style="font-family:&quot;Times New Roman&quot;;font-size:10pt;v-text-kern:t;mso-text-shadow:auto;font-style:italic" string="have witnessed domestic abuse incidents by ensuring that schools"/>
            <w10:wrap type="none"/>
          </v:shape>
        </w:pict>
      </w:r>
      <w:r>
        <w:rPr/>
        <w:pict>
          <v:shape style="position:absolute;margin-left:87.401001pt;margin-top:452.744415pt;width:329.8pt;height:10.1pt;mso-position-horizontal-relative:page;mso-position-vertical-relative:page;z-index:15833088;rotation:358" type="#_x0000_t136" fillcolor="#231f20" stroked="f">
            <o:extrusion v:ext="view" autorotationcenter="t"/>
            <v:textpath style="font-family:&quot;Times New Roman&quot;;font-size:10pt;v-text-kern:t;mso-text-shadow:auto;font-style:italic" string="are promptly informed; Powys County Council’s challenges arising"/>
            <w10:wrap type="none"/>
          </v:shape>
        </w:pict>
      </w:r>
      <w:r>
        <w:rPr/>
        <w:pict>
          <v:shape style="position:absolute;margin-left:87.827232pt;margin-top:465.051819pt;width:318.2pt;height:10.1pt;mso-position-horizontal-relative:page;mso-position-vertical-relative:page;z-index:15833600;rotation:358" type="#_x0000_t136" fillcolor="#231f20" stroked="f">
            <o:extrusion v:ext="view" autorotationcenter="t"/>
            <v:textpath style="font-family:&quot;Times New Roman&quot;;font-size:10pt;v-text-kern:t;mso-text-shadow:auto;font-style:italic" string="from the identified shortcomings to children’s services during a"/>
            <w10:wrap type="none"/>
          </v:shape>
        </w:pict>
      </w:r>
      <w:r>
        <w:rPr/>
        <w:pict>
          <v:shape style="position:absolute;margin-left:88.248268pt;margin-top:477.055847pt;width:324pt;height:10.1pt;mso-position-horizontal-relative:page;mso-position-vertical-relative:page;z-index:15834112;rotation:358" type="#_x0000_t136" fillcolor="#231f20" stroked="f">
            <o:extrusion v:ext="view" autorotationcenter="t"/>
            <v:textpath style="font-family:&quot;Times New Roman&quot;;font-size:10pt;v-text-kern:t;mso-text-shadow:auto;font-style:italic" string="2017 inspection was compounded by intermittent attendance from"/>
            <w10:wrap type="none"/>
          </v:shape>
        </w:pict>
      </w:r>
      <w:r>
        <w:rPr/>
        <w:pict>
          <v:shape style="position:absolute;margin-left:88.672226pt;margin-top:489.233185pt;width:319.850pt;height:10.1pt;mso-position-horizontal-relative:page;mso-position-vertical-relative:page;z-index:15834624;rotation:358" type="#_x0000_t136" fillcolor="#231f20" stroked="f">
            <o:extrusion v:ext="view" autorotationcenter="t"/>
            <v:textpath style="font-family:&quot;Times New Roman&quot;;font-size:10pt;v-text-kern:t;mso-text-shadow:auto;font-style:italic" string="staff at all levels, leading us to conclude that it is “a reluctant"/>
            <w10:wrap type="none"/>
          </v:shape>
        </w:pict>
      </w:r>
      <w:r>
        <w:rPr/>
        <w:pict>
          <v:shape style="position:absolute;margin-left:89.092537pt;margin-top:501.201508pt;width:327.7pt;height:10.1pt;mso-position-horizontal-relative:page;mso-position-vertical-relative:page;z-index:15835136;rotation:358" type="#_x0000_t136" fillcolor="#231f20" stroked="f">
            <o:extrusion v:ext="view" autorotationcenter="t"/>
            <v:textpath style="font-family:&quot;Times New Roman&quot;;font-size:10pt;v-text-kern:t;mso-text-shadow:auto;font-style:italic" string="partner in the Regional Safeguarding Children Board collaboration;”"/>
            <w10:wrap type="none"/>
          </v:shape>
        </w:pict>
      </w:r>
      <w:r>
        <w:rPr/>
        <w:pict>
          <v:shape style="position:absolute;margin-left:89.513252pt;margin-top:513.193176pt;width:334.2pt;height:10.1pt;mso-position-horizontal-relative:page;mso-position-vertical-relative:page;z-index:15835648;rotation:358" type="#_x0000_t136" fillcolor="#231f20" stroked="f">
            <o:extrusion v:ext="view" autorotationcenter="t"/>
            <v:textpath style="font-family:&quot;Times New Roman&quot;;font-size:10pt;v-text-kern:t;mso-text-shadow:auto;font-style:italic" string="in contrast, Powys’ Adult Services has contributed to a threshold"/>
            <w10:wrap type="none"/>
          </v:shape>
        </w:pict>
      </w:r>
      <w:r>
        <w:rPr/>
        <w:pict>
          <v:shape style="position:absolute;margin-left:89.933594pt;margin-top:525.157471pt;width:342.3pt;height:10.1pt;mso-position-horizontal-relative:page;mso-position-vertical-relative:page;z-index:15836160;rotation:358" type="#_x0000_t136" fillcolor="#231f20" stroked="f">
            <o:extrusion v:ext="view" autorotationcenter="t"/>
            <v:textpath style="font-family:&quot;Times New Roman&quot;;font-size:10pt;v-text-kern:t;mso-text-shadow:auto;font-style:italic" string="document; Ceredigion County Council led a “wide-reaching awareness"/>
            <w10:wrap type="none"/>
          </v:shape>
        </w:pict>
      </w:r>
      <w:r>
        <w:rPr/>
        <w:pict>
          <v:shape style="position:absolute;margin-left:90.359489pt;margin-top:537.446045pt;width:331.8pt;height:10.1pt;mso-position-horizontal-relative:page;mso-position-vertical-relative:page;z-index:15836672;rotation:358" type="#_x0000_t136" fillcolor="#231f20" stroked="f">
            <o:extrusion v:ext="view" autorotationcenter="t"/>
            <v:textpath style="font-family:&quot;Times New Roman&quot;;font-size:10pt;v-text-kern:t;mso-text-shadow:auto;font-style:italic" string="programme…across the whole county” during National Safeguarding"/>
            <w10:wrap type="none"/>
          </v:shape>
        </w:pict>
      </w:r>
      <w:r>
        <w:rPr/>
        <w:pict>
          <v:shape style="position:absolute;margin-left:90.789307pt;margin-top:549.959167pt;width:308.4pt;height:10.1pt;mso-position-horizontal-relative:page;mso-position-vertical-relative:page;z-index:15837184;rotation:358" type="#_x0000_t136" fillcolor="#231f20" stroked="f">
            <o:extrusion v:ext="view" autorotationcenter="t"/>
            <v:textpath style="font-family:&quot;Times New Roman&quot;;font-size:10pt;v-text-kern:t;mso-text-shadow:auto;font-style:italic" string="Week; the Regional Directors of Education expressed concern"/>
            <w10:wrap type="none"/>
          </v:shape>
        </w:pict>
      </w:r>
      <w:r>
        <w:rPr/>
        <w:pict>
          <v:shape style="position:absolute;margin-left:91.211723pt;margin-top:562.048035pt;width:309.350pt;height:10.1pt;mso-position-horizontal-relative:page;mso-position-vertical-relative:page;z-index:15837696;rotation:358" type="#_x0000_t136" fillcolor="#231f20" stroked="f">
            <o:extrusion v:ext="view" autorotationcenter="t"/>
            <v:textpath style="font-family:&quot;Times New Roman&quot;;font-size:10pt;v-text-kern:t;mso-text-shadow:auto;font-style:italic" string="about the increasing numbers of pupils being withdrawn to be"/>
            <w10:wrap type="none"/>
          </v:shape>
        </w:pict>
      </w:r>
      <w:r>
        <w:rPr/>
        <w:pict>
          <v:shape style="position:absolute;margin-left:91.631203pt;margin-top:573.962830pt;width:320.25pt;height:10.1pt;mso-position-horizontal-relative:page;mso-position-vertical-relative:page;z-index:15838208;rotation:358" type="#_x0000_t136" fillcolor="#231f20" stroked="f">
            <o:extrusion v:ext="view" autorotationcenter="t"/>
            <v:textpath style="font-family:&quot;Times New Roman&quot;;font-size:10pt;v-text-kern:t;mso-text-shadow:auto;font-style:italic" string="electively home educated; Pembrokeshire and Ceredigion were the"/>
            <w10:wrap type="none"/>
          </v:shape>
        </w:pict>
      </w:r>
      <w:r>
        <w:rPr/>
        <w:pict>
          <v:shape style="position:absolute;margin-left:92.052338pt;margin-top:583.474731pt;width:325.4pt;height:15.15pt;mso-position-horizontal-relative:page;mso-position-vertical-relative:page;z-index:15838720;rotation:358" type="#_x0000_t136" fillcolor="#231f20" stroked="f">
            <o:extrusion v:ext="view" autorotationcenter="t"/>
            <v:textpath style="font-family:&quot;Times New Roman&quot;;font-size:10pt;v-text-kern:t;mso-text-shadow:auto;font-style:italic" string="second areas in Wales to introduce the Stonewall Equality Index"/>
            <w10:wrap type="none"/>
          </v:shape>
        </w:pict>
      </w:r>
      <w:r>
        <w:rPr/>
        <w:pict>
          <v:shape style="position:absolute;margin-left:417.260468pt;margin-top:578.825867pt;width:4.75pt;height:8.85pt;mso-position-horizontal-relative:page;mso-position-vertical-relative:page;z-index:15839232;rotation:358" type="#_x0000_t136" fillcolor="#231f20" stroked="f">
            <o:extrusion v:ext="view" autorotationcenter="t"/>
            <v:textpath style="font-family:&quot;Times New Roman&quot;;font-size:5pt;v-text-kern:t;mso-text-shadow:auto;font-style:italic" string="*"/>
            <w10:wrap type="none"/>
          </v:shape>
        </w:pict>
      </w:r>
      <w:r>
        <w:rPr/>
        <w:pict>
          <v:shape style="position:absolute;margin-left:422.036652pt;margin-top:577.564087pt;width:4pt;height:15.1pt;mso-position-horizontal-relative:page;mso-position-vertical-relative:page;z-index:15839744;rotation:358" type="#_x0000_t136" fillcolor="#231f20" stroked="f">
            <o:extrusion v:ext="view" autorotationcenter="t"/>
            <v:textpath style="font-family:&quot;Times New Roman&quot;;font-size:10pt;v-text-kern:t;mso-text-shadow:auto;font-style:italic" string=";"/>
            <w10:wrap type="none"/>
          </v:shape>
        </w:pict>
      </w:r>
      <w:r>
        <w:rPr/>
        <w:pict>
          <v:shape style="position:absolute;margin-left:92.491737pt;margin-top:596.536865pt;width:270.6pt;height:15.15pt;mso-position-horizontal-relative:page;mso-position-vertical-relative:page;z-index:15840256;rotation:358" type="#_x0000_t136" fillcolor="#231f20" stroked="f">
            <o:extrusion v:ext="view" autorotationcenter="t"/>
            <v:textpath style="font-family:&quot;Times New Roman&quot;;font-size:10pt;v-text-kern:t;mso-text-shadow:auto;font-style:italic" string="Powys have implemented the KiVa anti-bully programme"/>
            <w10:wrap type="none"/>
          </v:shape>
        </w:pict>
      </w:r>
      <w:r>
        <w:rPr/>
        <w:pict>
          <v:shape style="position:absolute;margin-left:362.886505pt;margin-top:592.762451pt;width:9.450pt;height:8.85pt;mso-position-horizontal-relative:page;mso-position-vertical-relative:page;z-index:15840768;rotation:358" type="#_x0000_t136" fillcolor="#231f20" stroked="f">
            <o:extrusion v:ext="view" autorotationcenter="t"/>
            <v:textpath style="font-family:&quot;Times New Roman&quot;;font-size:5pt;v-text-kern:t;mso-text-shadow:auto;font-style:italic" string="**"/>
            <w10:wrap type="none"/>
          </v:shape>
        </w:pict>
      </w:r>
      <w:r>
        <w:rPr/>
        <w:pict>
          <v:shape style="position:absolute;margin-left:376.619812pt;margin-top:592.842834pt;width:57.3pt;height:10.1pt;mso-position-horizontal-relative:page;mso-position-vertical-relative:page;z-index:15841280;rotation:358" type="#_x0000_t136" fillcolor="#231f20" stroked="f">
            <o:extrusion v:ext="view" autorotationcenter="t"/>
            <v:textpath style="font-family:&quot;Times New Roman&quot;;font-size:10pt;v-text-kern:t;mso-text-shadow:auto;font-style:italic" string="in schools;"/>
            <w10:wrap type="none"/>
          </v:shape>
        </w:pict>
      </w:r>
      <w:r>
        <w:rPr/>
        <w:pict>
          <v:shape style="position:absolute;margin-left:92.903625pt;margin-top:610.526306pt;width:306.1pt;height:10.1pt;mso-position-horizontal-relative:page;mso-position-vertical-relative:page;z-index:15841792;rotation:358" type="#_x0000_t136" fillcolor="#231f20" stroked="f">
            <o:extrusion v:ext="view" autorotationcenter="t"/>
            <v:textpath style="font-family:&quot;Times New Roman&quot;;font-size:10pt;v-text-kern:t;mso-text-shadow:auto;font-style:italic" string="Carmarthenshire have developed bespoke legal training for head"/>
            <w10:wrap type="none"/>
          </v:shape>
        </w:pict>
      </w:r>
      <w:r>
        <w:rPr/>
        <w:pict>
          <v:shape style="position:absolute;margin-left:93.319077pt;margin-top:622.210693pt;width:330.2pt;height:10.1pt;mso-position-horizontal-relative:page;mso-position-vertical-relative:page;z-index:15842304;rotation:358" type="#_x0000_t136" fillcolor="#231f20" stroked="f">
            <o:extrusion v:ext="view" autorotationcenter="t"/>
            <v:textpath style="font-family:&quot;Times New Roman&quot;;font-size:10pt;v-text-kern:t;mso-text-shadow:auto;font-style:italic" string="teachers; and Regional Commissioners have sought to ensure that"/>
            <w10:wrap type="none"/>
          </v:shape>
        </w:pict>
      </w:r>
      <w:r>
        <w:rPr/>
        <w:pict>
          <v:shape style="position:absolute;margin-left:93.744766pt;margin-top:634.487366pt;width:320.350pt;height:10.1pt;mso-position-horizontal-relative:page;mso-position-vertical-relative:page;z-index:15842816;rotation:358" type="#_x0000_t136" fillcolor="#231f20" stroked="f">
            <o:extrusion v:ext="view" autorotationcenter="t"/>
            <v:textpath style="font-family:&quot;Times New Roman&quot;;font-size:10pt;v-text-kern:t;mso-text-shadow:auto;font-style:italic" string="all new contracts include a clause expecting the cooperation of"/>
            <w10:wrap type="none"/>
          </v:shape>
        </w:pict>
      </w:r>
      <w:r>
        <w:rPr/>
        <w:pict>
          <v:shape style="position:absolute;margin-left:94.18998pt;margin-top:647.882385pt;width:246.45pt;height:10.1pt;mso-position-horizontal-relative:page;mso-position-vertical-relative:page;z-index:15843328;rotation:358" type="#_x0000_t136" fillcolor="#231f20" stroked="f">
            <o:extrusion v:ext="view" autorotationcenter="t"/>
            <v:textpath style="font-family:&quot;Times New Roman&quot;;font-size:10pt;v-text-kern:t;mso-text-shadow:auto;font-style:italic" string="providers in any safeguarding reviews in the region."/>
            <w10:wrap type="none"/>
          </v:shape>
        </w:pict>
      </w:r>
      <w:r>
        <w:rPr/>
        <w:pict>
          <v:shape style="position:absolute;margin-left:82.70797pt;margin-top:322.710876pt;width:143.7pt;height:12.9pt;mso-position-horizontal-relative:page;mso-position-vertical-relative:page;z-index:15843840;rotation:359" type="#_x0000_t136" fillcolor="#231f20" stroked="f">
            <o:extrusion v:ext="view" autorotationcenter="t"/>
            <v:textpath style="font-family:&quot;Times New Roman&quot;;font-size:12pt;v-text-kern:t;mso-text-shadow:auto;font-style:italic" string="Mid and West Wales"/>
            <w10:wrap type="none"/>
          </v:shape>
        </w:pict>
      </w:r>
      <w:r>
        <w:rPr>
          <w:color w:val="231F20"/>
          <w:sz w:val="16"/>
        </w:rPr>
        <w:t>32</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7"/>
        </w:rPr>
      </w:pPr>
    </w:p>
    <w:p>
      <w:pPr>
        <w:pStyle w:val="BodyText"/>
        <w:spacing w:before="9"/>
        <w:rPr>
          <w:sz w:val="7"/>
        </w:rPr>
      </w:pPr>
    </w:p>
    <w:p>
      <w:pPr>
        <w:spacing w:before="1"/>
        <w:ind w:left="915" w:right="0" w:firstLine="0"/>
        <w:jc w:val="left"/>
        <w:rPr>
          <w:sz w:val="8"/>
        </w:rPr>
      </w:pPr>
      <w:r>
        <w:rPr>
          <w:color w:val="FFFFFF"/>
          <w:sz w:val="8"/>
        </w:rPr>
        <w:t>* </w:t>
      </w:r>
      <w:hyperlink r:id="rId42">
        <w:r>
          <w:rPr>
            <w:rFonts w:ascii="Avenir"/>
            <w:color w:val="FFFFFF"/>
            <w:sz w:val="8"/>
          </w:rPr>
          <w:t>https://www.stonewall.org.uk/workplace-equality-index </w:t>
        </w:r>
      </w:hyperlink>
      <w:r>
        <w:rPr>
          <w:color w:val="FFFFFF"/>
          <w:sz w:val="8"/>
        </w:rPr>
        <w:t>(accessed 1 August 2018)</w:t>
      </w:r>
    </w:p>
    <w:p>
      <w:pPr>
        <w:spacing w:before="74"/>
        <w:ind w:left="915" w:right="0" w:firstLine="0"/>
        <w:jc w:val="left"/>
        <w:rPr>
          <w:sz w:val="8"/>
        </w:rPr>
      </w:pPr>
      <w:r>
        <w:rPr>
          <w:color w:val="FFFFFF"/>
          <w:sz w:val="8"/>
        </w:rPr>
        <w:t>** </w:t>
      </w:r>
      <w:hyperlink r:id="rId43">
        <w:r>
          <w:rPr>
            <w:rFonts w:ascii="Avenir"/>
            <w:color w:val="FFFFFF"/>
            <w:sz w:val="8"/>
          </w:rPr>
          <w:t>http://www.kivaprogram.net/wales </w:t>
        </w:r>
      </w:hyperlink>
      <w:r>
        <w:rPr>
          <w:color w:val="FFFFFF"/>
          <w:sz w:val="8"/>
        </w:rPr>
        <w:t>(accessed 1 August 2018)</w:t>
      </w:r>
    </w:p>
    <w:p>
      <w:pPr>
        <w:spacing w:after="0"/>
        <w:jc w:val="left"/>
        <w:rPr>
          <w:sz w:val="8"/>
        </w:rPr>
        <w:sectPr>
          <w:pgSz w:w="11910" w:h="16840"/>
          <w:pgMar w:top="580" w:bottom="280" w:left="320" w:right="560"/>
        </w:sectPr>
      </w:pPr>
    </w:p>
    <w:p>
      <w:pPr>
        <w:tabs>
          <w:tab w:pos="10338" w:val="right" w:leader="none"/>
        </w:tabs>
        <w:spacing w:before="82"/>
        <w:ind w:left="360" w:right="0" w:firstLine="0"/>
        <w:jc w:val="left"/>
        <w:rPr>
          <w:sz w:val="16"/>
        </w:rPr>
      </w:pPr>
      <w:r>
        <w:rPr/>
        <w:pict>
          <v:group style="position:absolute;margin-left:-.000023pt;margin-top:0pt;width:595.3pt;height:841.9pt;mso-position-horizontal-relative:page;mso-position-vertical-relative:page;z-index:-17732608" coordorigin="0,0" coordsize="11906,16838">
            <v:rect style="position:absolute;left:11338;top:0;width:567;height:16838" filled="true" fillcolor="#3b957d" stroked="false">
              <v:fill type="solid"/>
            </v:rect>
            <v:rect style="position:absolute;left:0;top:5555;width:11339;height:11282" filled="true" fillcolor="#7cd3f9" stroked="false">
              <v:fill type="solid"/>
            </v:rect>
            <v:shape style="position:absolute;left:0;top:6295;width:11339;height:10543" coordorigin="0,6295" coordsize="11339,10543" path="m0,6780l0,16838,11339,16838,11339,6781,585,6781,0,6780xm11339,6295l10379,6375,7811,6553,5165,6685,2749,6759,585,6781,11339,6781,11339,6295xe" filled="true" fillcolor="#0099e5" stroked="false">
              <v:path arrowok="t"/>
              <v:fill type="solid"/>
            </v:shape>
            <v:shape style="position:absolute;left:441;top:5703;width:1883;height:1539" coordorigin="442,5703" coordsize="1883,1539" path="m442,5703l442,7242,2324,7113,2324,5831,442,5703xe" filled="true" fillcolor="#e4c82a" stroked="false">
              <v:path arrowok="t"/>
              <v:fill type="solid"/>
            </v:shape>
            <v:shape style="position:absolute;left:1575;top:6472;width:8768;height:3209" coordorigin="1575,6472" coordsize="8768,3209" path="m10343,6472l1575,6472,1575,7565,2355,7565,2355,7321,3419,7321,4471,9681,10143,8888,10208,8869,10263,8833,10306,8784,10333,8725,10343,8658,10343,6472xe" filled="true" fillcolor="#c64d9c" stroked="false">
              <v:path arrowok="t"/>
              <v:fill type="solid"/>
            </v:shape>
            <v:shape style="position:absolute;left:1575;top:3225;width:8768;height:3247" coordorigin="1575,3226" coordsize="8768,3247" path="m4471,3226l3419,5585,2355,5585,2355,5342,1575,5342,1575,6472,10343,6472,10343,4248,10333,4181,10306,4122,10263,4073,10208,4037,10143,4018,4471,3226xe" filled="true" fillcolor="#d382b6" stroked="false">
              <v:path arrowok="t"/>
              <v:fill type="solid"/>
            </v:shape>
            <v:shape style="position:absolute;left:4177;top:4166;width:5966;height:4770" coordorigin="4178,4167" coordsize="5966,4770" path="m4259,4167l4178,8834,10062,8937,10144,4270,4259,4167xe" filled="true" fillcolor="#fffcd5" stroked="false">
              <v:path arrowok="t"/>
              <v:fill type="solid"/>
            </v:shape>
            <v:shape style="position:absolute;left:0;top:8685;width:11339;height:8153" coordorigin="0,8685" coordsize="11339,8153" path="m0,9155l0,16838,11339,16838,11339,9170,1660,9170,0,9155xm11339,8685l11129,8714,10754,8759,10162,8820,9228,8900,7788,8996,5913,9086,3786,9149,1660,9170,11339,9170,11339,8685xe" filled="true" fillcolor="#16b5f9" stroked="false">
              <v:path arrowok="t"/>
              <v:fill type="solid"/>
            </v:shape>
            <v:shape style="position:absolute;left:0;top:10369;width:11339;height:6469" coordorigin="0,10370" coordsize="11339,6469" path="m0,10638l0,16838,11339,16838,11339,10653,1908,10653,0,10638xm11339,10370l8472,10509,4904,10621,1908,10653,11339,10653,11339,10370xe" filled="true" fillcolor="#0099e5" stroked="false">
              <v:path arrowok="t"/>
              <v:fill type="solid"/>
            </v:shape>
            <v:shape style="position:absolute;left:0;top:11922;width:11339;height:4916" coordorigin="0,11922" coordsize="11339,4916" path="m0,12191l0,16838,11339,16838,11339,12319,5101,12319,3343,12299,0,12191xm11339,11922l11302,11929,11018,11974,10639,12027,10199,12081,9696,12133,9051,12188,8321,12236,7404,12279,6373,12308,5101,12319,11339,12319,11339,11922xe" filled="true" fillcolor="#0075bf" stroked="false">
              <v:path arrowok="t"/>
              <v:fill type="solid"/>
            </v:shape>
            <v:shape style="position:absolute;left:0;top:8475;width:3621;height:1028" coordorigin="0,8475" coordsize="3621,1028" path="m0,8641l0,9503,3620,9314,3587,8677,3580,8645,76,8645,33,8643,0,8641xm3371,8475l164,8643,120,8645,76,8645,3580,8645,3573,8611,3540,8554,3494,8510,3436,8483,3371,8475xe" filled="true" fillcolor="#876baf" stroked="false">
              <v:path arrowok="t"/>
              <v:fill type="solid"/>
            </v:shape>
            <v:shape style="position:absolute;left:0;top:9313;width:3654;height:1068" coordorigin="0,9314" coordsize="3654,1068" path="m3620,9314l0,9503,0,10381,39,10371,81,10362,166,10349,253,10341,3460,10173,3524,10159,3578,10126,3620,10077,3646,10018,3653,9950,3620,9314xe" filled="true" fillcolor="#734fa0" stroked="false">
              <v:path arrowok="t"/>
              <v:fill type="solid"/>
            </v:shape>
            <v:shape style="position:absolute;left:3404;top:8292;width:1008;height:1987" coordorigin="3404,8293" coordsize="1008,1987" path="m4106,8293l3608,8319,3525,8339,3460,8384,3417,8449,3404,8526,3486,10094,3507,10170,3556,10230,3626,10268,3710,10279,4209,10253,4291,10233,4357,10188,4399,10123,4412,10046,4330,8478,4309,8402,4260,8342,4190,8304,4106,8293xe" filled="true" fillcolor="#3a826c" stroked="false">
              <v:path arrowok="t"/>
              <v:fill type="solid"/>
            </v:shape>
            <v:shape style="position:absolute;left:3085;top:8179;width:1019;height:2246" coordorigin="3086,8180" coordsize="1019,2246" path="m3786,8180l3288,8206,3221,8221,3164,8255,3120,8306,3093,8368,3086,8439,3179,10214,3193,10284,3227,10343,3276,10389,3336,10417,3404,10425,3902,10399,3969,10384,4026,10350,4070,10299,4097,10237,4104,10166,4011,8391,3997,8321,3963,8262,3914,8216,3854,8188,3786,8180xe" filled="true" fillcolor="#3b957d" stroked="false">
              <v:path arrowok="t"/>
              <v:fill type="solid"/>
            </v:shape>
            <v:shape style="position:absolute;left:2742;top:8491;width:436;height:1716" coordorigin="2742,8491" coordsize="436,1716" path="m3088,8491l2742,8509,2831,10206,3177,10188,3088,8491xe" filled="true" fillcolor="#743c8e" stroked="false">
              <v:path arrowok="t"/>
              <v:fill type="solid"/>
            </v:shape>
            <v:shape style="position:absolute;left:1629;top:10418;width:8730;height:2258" coordorigin="1630,10418" coordsize="8730,2258" path="m10015,10418l4445,10808,4367,10815,4290,10825,4215,10839,4140,10857,4067,10877,3996,10901,3926,10928,3857,10957,3790,10990,3725,11025,3662,11063,3601,11103,3541,11146,3484,11192,3429,11240,3375,11290,3325,11343,3276,11397,3230,11454,3186,11512,3145,11572,3106,11635,3070,11699,3037,11764,3006,11831,2979,11900,2954,11969,2932,12041,2914,12113,1630,12203,1663,12676,10360,12068,10259,10631,10242,10559,10205,10499,10153,10453,10088,10425,10015,10418xe" filled="true" fillcolor="#ebd672" stroked="false">
              <v:path arrowok="t"/>
              <v:fill type="solid"/>
            </v:shape>
            <v:shape style="position:absolute;left:1662;top:12067;width:8801;height:2122" coordorigin="1663,12068" coordsize="8801,2122" path="m10360,12068l1663,12676,1699,13195,2983,13105,3012,13175,3043,13242,3077,13308,3114,13372,3153,13434,3196,13494,3240,13552,3287,13609,3336,13663,3388,13715,3441,13764,3497,13811,3555,13856,3614,13898,3676,13938,3739,13975,3804,14010,3870,14041,3938,14070,4008,14096,4078,14119,4150,14139,4223,14155,4297,14169,4373,14179,4449,14186,4525,14189,4603,14189,4681,14185,10251,13796,10322,13779,10383,13742,10429,13689,10457,13624,10463,13551,10360,12068xe" filled="true" fillcolor="#e4c82a" stroked="false">
              <v:path arrowok="t"/>
              <v:fill type="solid"/>
            </v:shape>
            <v:shape style="position:absolute;left:432;top:12017;width:1277;height:1401" coordorigin="432,12017" coordsize="1277,1401" path="m1617,12017l432,12100,524,13418,1709,13335,1617,12017xe" filled="true" fillcolor="#d5583b" stroked="false">
              <v:path arrowok="t"/>
              <v:fill type="solid"/>
            </v:shape>
            <v:shape style="position:absolute;left:1024;top:12034;width:438;height:1342" coordorigin="1025,12034" coordsize="438,1342" path="m1369,12034l1025,12058,1117,13376,1462,13352,1369,12034xe" filled="true" fillcolor="#3e77a4" stroked="false">
              <v:path arrowok="t"/>
              <v:fill type="solid"/>
            </v:shape>
            <v:shape style="position:absolute;left:1629;top:12184;width:284;height:1011" coordorigin="1630,12185" coordsize="284,1011" path="m1844,12185l1630,12200,1699,13195,1914,13180,1844,12185xe" filled="true" fillcolor="#eaa028" stroked="false">
              <v:path arrowok="t"/>
              <v:fill type="solid"/>
            </v:shape>
            <v:shape style="position:absolute;left:4012;top:10543;width:6134;height:3600" coordorigin="4012,10544" coordsize="6134,3600" path="m9875,10544l4012,11057,4282,14143,10145,13630,9875,10544xe" filled="true" fillcolor="#fffcd5" stroked="false">
              <v:path arrowok="t"/>
              <v:fill type="solid"/>
            </v:shape>
            <v:shape style="position:absolute;left:0;top:13343;width:11339;height:3494" coordorigin="0,13344" coordsize="11339,3494" path="m0,14307l0,16838,11339,16838,11339,14329,1233,14329,561,14323,0,14307xm11339,13344l11051,13395,9937,13579,8650,13768,7318,13938,6032,14077,4853,14180,3824,14250,2870,14297,2004,14322,1233,14329,11339,14329,11339,13344xe" filled="true" fillcolor="#00549e" stroked="false">
              <v:path arrowok="t"/>
              <v:fill type="solid"/>
            </v:shape>
            <w10:wrap type="none"/>
          </v:group>
        </w:pict>
      </w:r>
      <w:r>
        <w:rPr/>
        <w:pict>
          <v:shape style="position:absolute;margin-left:224.022919pt;margin-top:225.839172pt;width:83.15pt;height:12.4pt;mso-position-horizontal-relative:page;mso-position-vertical-relative:page;z-index:15844864;rotation:1" type="#_x0000_t136" fillcolor="#231f20" stroked="f">
            <o:extrusion v:ext="view" autorotationcenter="t"/>
            <v:textpath style="font-family:&quot;Times New Roman&quot;;font-size:12pt;v-text-kern:t;mso-text-shadow:auto;font-style:italic" string="North Wales"/>
            <w10:wrap type="none"/>
          </v:shape>
        </w:pict>
      </w:r>
      <w:r>
        <w:rPr/>
        <w:pict>
          <v:shape style="position:absolute;margin-left:223.662155pt;margin-top:248.348969pt;width:266.25pt;height:10.3pt;mso-position-horizontal-relative:page;mso-position-vertical-relative:page;z-index:15845376;rotation:1" type="#_x0000_t136" fillcolor="#231f20" stroked="f">
            <o:extrusion v:ext="view" autorotationcenter="t"/>
            <v:textpath style="font-family:&quot;Times New Roman&quot;;font-size:10pt;v-text-kern:t;mso-text-shadow:auto;font-style:italic" string="We have ensured that the Betsi Cadwaladr University"/>
            <w10:wrap type="none"/>
          </v:shape>
        </w:pict>
      </w:r>
      <w:r>
        <w:rPr/>
        <w:pict>
          <v:shape style="position:absolute;margin-left:223.445831pt;margin-top:260.778076pt;width:274.4pt;height:10.3pt;mso-position-horizontal-relative:page;mso-position-vertical-relative:page;z-index:15845888;rotation:1" type="#_x0000_t136" fillcolor="#231f20" stroked="f">
            <o:extrusion v:ext="view" autorotationcenter="t"/>
            <v:textpath style="font-family:&quot;Times New Roman&quot;;font-size:10pt;v-text-kern:t;mso-text-shadow:auto;font-style:italic" string="Health Board has routinely provided information about"/>
            <w10:wrap type="none"/>
          </v:shape>
        </w:pict>
      </w:r>
      <w:r>
        <w:rPr/>
        <w:pict>
          <v:shape style="position:absolute;margin-left:223.230743pt;margin-top:273.065186pt;width:266.25pt;height:10.3pt;mso-position-horizontal-relative:page;mso-position-vertical-relative:page;z-index:15846400;rotation:1" type="#_x0000_t136" fillcolor="#231f20" stroked="f">
            <o:extrusion v:ext="view" autorotationcenter="t"/>
            <v:textpath style="font-family:&quot;Times New Roman&quot;;font-size:10pt;v-text-kern:t;mso-text-shadow:auto;font-style:italic" string="Tawel Fan and latterly, another mental health unit at"/>
            <w10:wrap type="none"/>
          </v:shape>
        </w:pict>
      </w:r>
      <w:r>
        <w:rPr/>
        <w:pict>
          <v:shape style="position:absolute;margin-left:223.014954pt;margin-top:285.433807pt;width:267.45pt;height:10.3pt;mso-position-horizontal-relative:page;mso-position-vertical-relative:page;z-index:15846912;rotation:1" type="#_x0000_t136" fillcolor="#231f20" stroked="f">
            <o:extrusion v:ext="view" autorotationcenter="t"/>
            <v:textpath style="font-family:&quot;Times New Roman&quot;;font-size:10pt;v-text-kern:t;mso-text-shadow:auto;font-style:italic" string="Ysbyty Glan Clwyd. Our work with the Lead Coroner"/>
            <w10:wrap type="none"/>
          </v:shape>
        </w:pict>
      </w:r>
      <w:r>
        <w:rPr/>
        <w:pict>
          <v:shape style="position:absolute;margin-left:222.799957pt;margin-top:297.711975pt;width:258.3pt;height:10.3pt;mso-position-horizontal-relative:page;mso-position-vertical-relative:page;z-index:15847424;rotation:1" type="#_x0000_t136" fillcolor="#231f20" stroked="f">
            <o:extrusion v:ext="view" autorotationcenter="t"/>
            <v:textpath style="font-family:&quot;Times New Roman&quot;;font-size:10pt;v-text-kern:t;mso-text-shadow:auto;font-style:italic" string="and the Police and Crime Commissioner means that"/>
            <w10:wrap type="none"/>
          </v:shape>
        </w:pict>
      </w:r>
      <w:r>
        <w:rPr/>
        <w:pict>
          <v:shape style="position:absolute;margin-left:222.58519pt;margin-top:309.963715pt;width:246.1pt;height:10.3pt;mso-position-horizontal-relative:page;mso-position-vertical-relative:page;z-index:15847936;rotation:1" type="#_x0000_t136" fillcolor="#231f20" stroked="f">
            <o:extrusion v:ext="view" autorotationcenter="t"/>
            <v:textpath style="font-family:&quot;Times New Roman&quot;;font-size:10pt;v-text-kern:t;mso-text-shadow:auto;font-style:italic" string="we share similar safeguarding priorities. We have"/>
            <w10:wrap type="none"/>
          </v:shape>
        </w:pict>
      </w:r>
      <w:r>
        <w:rPr/>
        <w:pict>
          <v:shape style="position:absolute;margin-left:222.368561pt;margin-top:322.427368pt;width:258.2pt;height:10.3pt;mso-position-horizontal-relative:page;mso-position-vertical-relative:page;z-index:15848448;rotation:1" type="#_x0000_t136" fillcolor="#231f20" stroked="f">
            <o:extrusion v:ext="view" autorotationcenter="t"/>
            <v:textpath style="font-family:&quot;Times New Roman&quot;;font-size:10pt;v-text-kern:t;mso-text-shadow:auto;font-style:italic" string="shared our training needs analysis with Social Care"/>
            <w10:wrap type="none"/>
          </v:shape>
        </w:pict>
      </w:r>
      <w:r>
        <w:rPr/>
        <w:pict>
          <v:shape style="position:absolute;margin-left:222.154175pt;margin-top:334.623108pt;width:239.6pt;height:10.3pt;mso-position-horizontal-relative:page;mso-position-vertical-relative:page;z-index:15848960;rotation:1" type="#_x0000_t136" fillcolor="#231f20" stroked="f">
            <o:extrusion v:ext="view" autorotationcenter="t"/>
            <v:textpath style="font-family:&quot;Times New Roman&quot;;font-size:10pt;v-text-kern:t;mso-text-shadow:auto;font-style:italic" string="Wales. The approach of one local authority to"/>
            <w10:wrap type="none"/>
          </v:shape>
        </w:pict>
      </w:r>
      <w:r>
        <w:rPr/>
        <w:pict>
          <v:shape style="position:absolute;margin-left:221.936111pt;margin-top:347.252625pt;width:270.7pt;height:10.3pt;mso-position-horizontal-relative:page;mso-position-vertical-relative:page;z-index:15849472;rotation:1" type="#_x0000_t136" fillcolor="#231f20" stroked="f">
            <o:extrusion v:ext="view" autorotationcenter="t"/>
            <v:textpath style="font-family:&quot;Times New Roman&quot;;font-size:10pt;v-text-kern:t;mso-text-shadow:auto;font-style:italic" string="victims of child sexual exploitation was described by"/>
            <w10:wrap type="none"/>
          </v:shape>
        </w:pict>
      </w:r>
      <w:r>
        <w:rPr/>
        <w:pict>
          <v:shape style="position:absolute;margin-left:221.721207pt;margin-top:359.51886pt;width:260.1500pt;height:10.3pt;mso-position-horizontal-relative:page;mso-position-vertical-relative:page;z-index:15849984;rotation:1" type="#_x0000_t136" fillcolor="#231f20" stroked="f">
            <o:extrusion v:ext="view" autorotationcenter="t"/>
            <v:textpath style="font-family:&quot;Times New Roman&quot;;font-size:10pt;v-text-kern:t;mso-text-shadow:auto;font-style:italic" string="an independent reviewer as “pioneering.” Gwynedd and"/>
            <w10:wrap type="none"/>
          </v:shape>
        </w:pict>
      </w:r>
      <w:r>
        <w:rPr/>
        <w:pict>
          <v:shape style="position:absolute;margin-left:221.50563pt;margin-top:371.864014pt;width:258.6500pt;height:10.3pt;mso-position-horizontal-relative:page;mso-position-vertical-relative:page;z-index:15850496;rotation:1" type="#_x0000_t136" fillcolor="#231f20" stroked="f">
            <o:extrusion v:ext="view" autorotationcenter="t"/>
            <v:textpath style="font-family:&quot;Times New Roman&quot;;font-size:10pt;v-text-kern:t;mso-text-shadow:auto;font-style:italic" string="Anglesey provide peer audits of safeguarding work.”"/>
            <w10:wrap type="none"/>
          </v:shape>
        </w:pict>
      </w:r>
      <w:r>
        <w:rPr/>
        <w:pict>
          <v:shape style="position:absolute;margin-left:221.290222pt;margin-top:384.188751pt;width:254.85pt;height:10.3pt;mso-position-horizontal-relative:page;mso-position-vertical-relative:page;z-index:15851008;rotation:1" type="#_x0000_t136" fillcolor="#231f20" stroked="f">
            <o:extrusion v:ext="view" autorotationcenter="t"/>
            <v:textpath style="font-family:&quot;Times New Roman&quot;;font-size:10pt;v-text-kern:t;mso-text-shadow:auto;font-style:italic" string="North Wales Police worked with Dixons Carphone"/>
            <w10:wrap type="none"/>
          </v:shape>
        </w:pict>
      </w:r>
      <w:r>
        <w:rPr/>
        <w:pict>
          <v:shape style="position:absolute;margin-left:221.074921pt;margin-top:396.50119pt;width:249.6pt;height:10.3pt;mso-position-horizontal-relative:page;mso-position-vertical-relative:page;z-index:15851520;rotation:1" type="#_x0000_t136" fillcolor="#231f20" stroked="f">
            <o:extrusion v:ext="view" autorotationcenter="t"/>
            <v:textpath style="font-family:&quot;Times New Roman&quot;;font-size:10pt;v-text-kern:t;mso-text-shadow:auto;font-style:italic" string="stores to raise awareness of internet safety. We"/>
            <w10:wrap type="none"/>
          </v:shape>
        </w:pict>
      </w:r>
      <w:r>
        <w:rPr/>
        <w:pict>
          <v:shape style="position:absolute;margin-left:220.858444pt;margin-top:408.948395pt;width:259.8pt;height:10.3pt;mso-position-horizontal-relative:page;mso-position-vertical-relative:page;z-index:15852032;rotation:1" type="#_x0000_t136" fillcolor="#231f20" stroked="f">
            <o:extrusion v:ext="view" autorotationcenter="t"/>
            <v:textpath style="font-family:&quot;Times New Roman&quot;;font-size:10pt;v-text-kern:t;mso-text-shadow:auto;font-style:italic" string="encourage interest in safeguarding topics by placing"/>
            <w10:wrap type="none"/>
          </v:shape>
        </w:pict>
      </w:r>
      <w:r>
        <w:rPr/>
        <w:pict>
          <v:shape style="position:absolute;margin-left:220.648422pt;margin-top:420.65625pt;width:185.3pt;height:10.3pt;mso-position-horizontal-relative:page;mso-position-vertical-relative:page;z-index:15852544;rotation:1" type="#_x0000_t136" fillcolor="#231f20" stroked="f">
            <o:extrusion v:ext="view" autorotationcenter="t"/>
            <v:textpath style="font-family:&quot;Times New Roman&quot;;font-size:10pt;v-text-kern:t;mso-text-shadow:auto;font-style:italic" string="“7 minute briefings” on our website."/>
            <w10:wrap type="none"/>
          </v:shape>
        </w:pict>
      </w:r>
      <w:r>
        <w:rPr/>
        <w:pict>
          <v:shape style="position:absolute;margin-left:573.765198pt;margin-top:182.052719pt;width:15.7pt;height:477.8pt;mso-position-horizontal-relative:page;mso-position-vertical-relative:page;z-index:15853056"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pict>
          <v:shape style="position:absolute;margin-left:213.493118pt;margin-top:562.097717pt;width:84.4pt;height:12.4pt;mso-position-horizontal-relative:page;mso-position-vertical-relative:page;z-index:15853568;rotation:356" type="#_x0000_t136" fillcolor="#231f20" stroked="f">
            <o:extrusion v:ext="view" autorotationcenter="t"/>
            <v:textpath style="font-family:&quot;Times New Roman&quot;;font-size:12pt;v-text-kern:t;mso-text-shadow:auto;font-style:italic" string="Western Bay"/>
            <w10:wrap type="none"/>
          </v:shape>
        </w:pict>
      </w:r>
      <w:r>
        <w:rPr/>
        <w:pict>
          <v:shape style="position:absolute;margin-left:215.056427pt;margin-top:577.482910pt;width:232.35pt;height:10.3pt;mso-position-horizontal-relative:page;mso-position-vertical-relative:page;z-index:15854080;rotation:356" type="#_x0000_t136" fillcolor="#231f20" stroked="f">
            <o:extrusion v:ext="view" autorotationcenter="t"/>
            <v:textpath style="font-family:&quot;Times New Roman&quot;;font-size:10pt;v-text-kern:t;mso-text-shadow:auto;font-style:italic" string="Safeguarding is the number one priority and is"/>
            <w10:wrap type="none"/>
          </v:shape>
        </w:pict>
      </w:r>
      <w:r>
        <w:rPr/>
        <w:pict>
          <v:shape style="position:absolute;margin-left:216.071899pt;margin-top:588.323181pt;width:266.150pt;height:10.3pt;mso-position-horizontal-relative:page;mso-position-vertical-relative:page;z-index:15854592;rotation:356" type="#_x0000_t136" fillcolor="#231f20" stroked="f">
            <o:extrusion v:ext="view" autorotationcenter="t"/>
            <v:textpath style="font-family:&quot;Times New Roman&quot;;font-size:10pt;v-text-kern:t;mso-text-shadow:auto;font-style:italic" string="embedded within the Corporate Plan. We have a doing"/>
            <w10:wrap type="none"/>
          </v:shape>
        </w:pict>
      </w:r>
      <w:r>
        <w:rPr/>
        <w:pict>
          <v:shape style="position:absolute;margin-left:217.191956pt;margin-top:601.658569pt;width:242.7pt;height:10.3pt;mso-position-horizontal-relative:page;mso-position-vertical-relative:page;z-index:15855104;rotation:356" type="#_x0000_t136" fillcolor="#231f20" stroked="f">
            <o:extrusion v:ext="view" autorotationcenter="t"/>
            <v:textpath style="font-family:&quot;Times New Roman&quot;;font-size:10pt;v-text-kern:t;mso-text-shadow:auto;font-style:italic" string="what matters practice framework to make sure"/>
            <w10:wrap type="none"/>
          </v:shape>
        </w:pict>
      </w:r>
      <w:r>
        <w:rPr/>
        <w:pict>
          <v:shape style="position:absolute;margin-left:218.263535pt;margin-top:613.835144pt;width:245.8pt;height:10.3pt;mso-position-horizontal-relative:page;mso-position-vertical-relative:page;z-index:15855616;rotation:356" type="#_x0000_t136" fillcolor="#231f20" stroked="f">
            <o:extrusion v:ext="view" autorotationcenter="t"/>
            <v:textpath style="font-family:&quot;Times New Roman&quot;;font-size:10pt;v-text-kern:t;mso-text-shadow:auto;font-style:italic" string="that the voices of people known to safeguarding"/>
            <w10:wrap type="none"/>
          </v:shape>
        </w:pict>
      </w:r>
      <w:r>
        <w:rPr/>
        <w:pict>
          <v:shape style="position:absolute;margin-left:219.303116pt;margin-top:625.250427pt;width:266.4pt;height:10.3pt;mso-position-horizontal-relative:page;mso-position-vertical-relative:page;z-index:15856128;rotation:356" type="#_x0000_t136" fillcolor="#231f20" stroked="f">
            <o:extrusion v:ext="view" autorotationcenter="t"/>
            <v:textpath style="font-family:&quot;Times New Roman&quot;;font-size:10pt;v-text-kern:t;mso-text-shadow:auto;font-style:italic" string="services are heard and at the heart of our approach."/>
            <w10:wrap type="none"/>
          </v:shape>
        </w:pict>
      </w:r>
      <w:r>
        <w:rPr/>
        <w:pict>
          <v:shape style="position:absolute;margin-left:220.400543pt;margin-top:638.043579pt;width:255.4pt;height:10.3pt;mso-position-horizontal-relative:page;mso-position-vertical-relative:page;z-index:15856640;rotation:356" type="#_x0000_t136" fillcolor="#231f20" stroked="f">
            <o:extrusion v:ext="view" autorotationcenter="t"/>
            <v:textpath style="font-family:&quot;Times New Roman&quot;;font-size:10pt;v-text-kern:t;mso-text-shadow:auto;font-style:italic" string="Neath Port Talbot worked with the police in Neath"/>
            <w10:wrap type="none"/>
          </v:shape>
        </w:pict>
      </w:r>
      <w:r>
        <w:rPr/>
        <w:pict>
          <v:shape style="position:absolute;margin-left:221.492966pt;margin-top:650.719727pt;width:247.05pt;height:10.3pt;mso-position-horizontal-relative:page;mso-position-vertical-relative:page;z-index:15857152;rotation:356" type="#_x0000_t136" fillcolor="#231f20" stroked="f">
            <o:extrusion v:ext="view" autorotationcenter="t"/>
            <v:textpath style="font-family:&quot;Times New Roman&quot;;font-size:10pt;v-text-kern:t;mso-text-shadow:auto;font-style:italic" string="town centre during National Safeguarding Week to"/>
            <w10:wrap type="none"/>
          </v:shape>
        </w:pict>
      </w:r>
      <w:r>
        <w:rPr/>
        <w:pict>
          <v:shape style="position:absolute;margin-left:222.534592pt;margin-top:662.181702pt;width:266.6pt;height:10.3pt;mso-position-horizontal-relative:page;mso-position-vertical-relative:page;z-index:15857664;rotation:356" type="#_x0000_t136" fillcolor="#231f20" stroked="f">
            <o:extrusion v:ext="view" autorotationcenter="t"/>
            <v:textpath style="font-family:&quot;Times New Roman&quot;;font-size:10pt;v-text-kern:t;mso-text-shadow:auto;font-style:italic" string="promote better school attendance. This was aimed at"/>
            <w10:wrap type="none"/>
          </v:shape>
        </w:pict>
      </w:r>
      <w:r>
        <w:rPr/>
        <w:pict>
          <v:shape style="position:absolute;margin-left:223.600281pt;margin-top:674.21991pt;width:272.9pt;height:10.3pt;mso-position-horizontal-relative:page;mso-position-vertical-relative:page;z-index:15858176;rotation:356" type="#_x0000_t136" fillcolor="#231f20" stroked="f">
            <o:extrusion v:ext="view" autorotationcenter="t"/>
            <v:textpath style="font-family:&quot;Times New Roman&quot;;font-size:10pt;v-text-kern:t;mso-text-shadow:auto;font-style:italic" string="highlighting the links between truancy and safeguarding."/>
            <w10:wrap type="none"/>
          </v:shape>
        </w:pict>
      </w:r>
      <w:r>
        <w:rPr>
          <w:color w:val="231F20"/>
          <w:sz w:val="16"/>
        </w:rPr>
        <w:t>Annual Report 2017-18</w:t>
        <w:tab/>
        <w:t>33</w:t>
      </w:r>
    </w:p>
    <w:p>
      <w:pPr>
        <w:spacing w:after="0"/>
        <w:jc w:val="left"/>
        <w:rPr>
          <w:sz w:val="16"/>
        </w:rPr>
        <w:sectPr>
          <w:pgSz w:w="11910" w:h="16840"/>
          <w:pgMar w:top="580" w:bottom="280" w:left="320" w:right="560"/>
        </w:sectPr>
      </w:pPr>
    </w:p>
    <w:p>
      <w:pPr>
        <w:pStyle w:val="BodyText"/>
        <w:rPr>
          <w:sz w:val="20"/>
        </w:rPr>
      </w:pPr>
      <w:r>
        <w:rPr/>
        <w:pict>
          <v:rect style="position:absolute;margin-left:0pt;margin-top:0pt;width:28.346pt;height:841.890015pt;mso-position-horizontal-relative:page;mso-position-vertical-relative:page;z-index:-17717760" filled="true" fillcolor="#3b957d" stroked="false">
            <v:fill type="solid"/>
            <w10:wrap type="none"/>
          </v:rect>
        </w:pict>
      </w:r>
    </w:p>
    <w:p>
      <w:pPr>
        <w:pStyle w:val="BodyText"/>
        <w:spacing w:before="6"/>
      </w:pPr>
    </w:p>
    <w:p>
      <w:pPr>
        <w:tabs>
          <w:tab w:pos="7398" w:val="left" w:leader="none"/>
        </w:tabs>
        <w:spacing w:before="100"/>
        <w:ind w:left="927" w:right="0" w:firstLine="0"/>
        <w:jc w:val="left"/>
        <w:rPr>
          <w:sz w:val="16"/>
        </w:rPr>
      </w:pPr>
      <w:r>
        <w:rPr>
          <w:color w:val="231F20"/>
          <w:sz w:val="16"/>
        </w:rPr>
        <w:t>34</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211" w:lineRule="auto"/>
        <w:ind w:left="927" w:right="283"/>
      </w:pPr>
      <w:r>
        <w:rPr>
          <w:color w:val="3B957D"/>
        </w:rPr>
        <w:t>An assessment of how the Safeguarding Boards used their resources in exercising its functions or achieving its outcomes</w:t>
      </w:r>
    </w:p>
    <w:p>
      <w:pPr>
        <w:pStyle w:val="BodyText"/>
        <w:spacing w:line="230" w:lineRule="auto" w:before="235"/>
        <w:ind w:left="927" w:right="198"/>
      </w:pPr>
      <w:r>
        <w:rPr/>
        <w:pict>
          <v:shape style="position:absolute;margin-left:7.0315pt;margin-top:10.10708pt;width:15.7pt;height:477.8pt;mso-position-horizontal-relative:page;mso-position-vertical-relative:paragraph;z-index:-17717248"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color w:val="231F20"/>
        </w:rPr>
        <w:t>The total expenditure of the Regional Boards ranges from £133,842.00 to £355,000.00. A detailed assessment is still well over the horizon because of the variable information supplied by the Regional Boards. For example, Cardiff and </w:t>
      </w:r>
      <w:r>
        <w:rPr>
          <w:color w:val="231F20"/>
          <w:spacing w:val="-4"/>
        </w:rPr>
        <w:t>Vale </w:t>
      </w:r>
      <w:r>
        <w:rPr>
          <w:color w:val="231F20"/>
        </w:rPr>
        <w:t>and Gwent identify the cost of Practice Reviews (£39,000.00 and £8,000.00 respectively); (i) Mid and West Wales and (ii) North Wales identify the costs of (i) travel/ venues and (ii) travel (£3,795.00 and £2,496.11 respectively); Cardiff and </w:t>
      </w:r>
      <w:r>
        <w:rPr>
          <w:color w:val="231F20"/>
          <w:spacing w:val="-4"/>
        </w:rPr>
        <w:t>Vale </w:t>
      </w:r>
      <w:r>
        <w:rPr>
          <w:color w:val="231F20"/>
        </w:rPr>
        <w:t>and Cwm </w:t>
      </w:r>
      <w:r>
        <w:rPr>
          <w:color w:val="231F20"/>
          <w:spacing w:val="-9"/>
        </w:rPr>
        <w:t>Taf </w:t>
      </w:r>
      <w:r>
        <w:rPr>
          <w:color w:val="231F20"/>
        </w:rPr>
        <w:t>cite “room/ venue hire” and “premises” (£2,956.83 and £6,360.00 respectively); Western Bay has drawn on reserves of £36,316; </w:t>
      </w:r>
      <w:r>
        <w:rPr>
          <w:color w:val="231F20"/>
          <w:spacing w:val="-4"/>
        </w:rPr>
        <w:t>Gwent’s </w:t>
      </w:r>
      <w:r>
        <w:rPr>
          <w:color w:val="231F20"/>
        </w:rPr>
        <w:t>budget for “training programmes” is £22,000.00; and Mid and West spent £26,200.00 “on commissioning services and/or training, which included…research into probable suicides, consultation with Pembrokeshire People First on the annual report, </w:t>
      </w:r>
      <w:r>
        <w:rPr>
          <w:color w:val="231F20"/>
          <w:spacing w:val="-2"/>
        </w:rPr>
        <w:t>facilitation </w:t>
      </w:r>
      <w:r>
        <w:rPr>
          <w:color w:val="231F20"/>
        </w:rPr>
        <w:t>of the CADW Junior Board and the regional young </w:t>
      </w:r>
      <w:r>
        <w:rPr>
          <w:color w:val="231F20"/>
          <w:spacing w:val="-4"/>
        </w:rPr>
        <w:t>person’s </w:t>
      </w:r>
      <w:r>
        <w:rPr>
          <w:color w:val="231F20"/>
        </w:rPr>
        <w:t>advocacy service with </w:t>
      </w:r>
      <w:r>
        <w:rPr>
          <w:color w:val="231F20"/>
          <w:spacing w:val="-7"/>
        </w:rPr>
        <w:t>Tros </w:t>
      </w:r>
      <w:r>
        <w:rPr>
          <w:color w:val="231F20"/>
        </w:rPr>
        <w:t>Gynnal and bespoke training on working with difficult, evasive and challenging families.”</w:t>
      </w:r>
    </w:p>
    <w:p>
      <w:pPr>
        <w:pStyle w:val="BodyText"/>
        <w:spacing w:before="7"/>
        <w:rPr>
          <w:sz w:val="21"/>
        </w:rPr>
      </w:pPr>
    </w:p>
    <w:p>
      <w:pPr>
        <w:pStyle w:val="BodyText"/>
        <w:spacing w:line="230" w:lineRule="auto"/>
        <w:ind w:left="927"/>
      </w:pPr>
      <w:r>
        <w:rPr>
          <w:color w:val="231F20"/>
        </w:rPr>
        <w:t>Business Units receive most of the funding. The tables below reveal variation in Business Unit funding across the Safeguarding Board Areas.</w:t>
      </w:r>
    </w:p>
    <w:p>
      <w:pPr>
        <w:pStyle w:val="BodyText"/>
        <w:spacing w:before="10"/>
        <w:rPr>
          <w:sz w:val="20"/>
        </w:rPr>
      </w:pPr>
    </w:p>
    <w:p>
      <w:pPr>
        <w:pStyle w:val="BodyText"/>
        <w:spacing w:line="286" w:lineRule="exact"/>
        <w:ind w:left="927"/>
      </w:pPr>
      <w:r>
        <w:rPr>
          <w:color w:val="231F20"/>
        </w:rPr>
        <w:t>Three Regional Boards included the following statement in their annual reports, without citing the</w:t>
      </w:r>
    </w:p>
    <w:p>
      <w:pPr>
        <w:pStyle w:val="BodyText"/>
        <w:spacing w:line="286" w:lineRule="exact"/>
        <w:ind w:left="927"/>
      </w:pPr>
      <w:r>
        <w:rPr>
          <w:color w:val="231F20"/>
        </w:rPr>
        <w:t>source:</w:t>
      </w:r>
    </w:p>
    <w:p>
      <w:pPr>
        <w:pStyle w:val="BodyText"/>
        <w:spacing w:before="3"/>
        <w:rPr>
          <w:sz w:val="21"/>
        </w:rPr>
      </w:pPr>
    </w:p>
    <w:p>
      <w:pPr>
        <w:pStyle w:val="BodyText"/>
        <w:spacing w:line="230" w:lineRule="auto"/>
        <w:ind w:left="927"/>
      </w:pPr>
      <w:r>
        <w:rPr>
          <w:color w:val="231F20"/>
        </w:rPr>
        <w:t>“It is acknowledged that resources used to support the work of the Regional Safeguarding Board are not confined or restricted to financial contributions from statutory partner agencies. The Regional Safeguarding Board Chairs, Executive Board Members, Sub Group Chairs and members provide</w:t>
      </w:r>
    </w:p>
    <w:p>
      <w:pPr>
        <w:pStyle w:val="BodyText"/>
        <w:spacing w:line="230" w:lineRule="auto"/>
        <w:ind w:left="927" w:right="145"/>
      </w:pPr>
      <w:r>
        <w:rPr>
          <w:color w:val="231F20"/>
        </w:rPr>
        <w:t>a significant amount of time to support the Board and its work. This is often in addition to their identified professional roles and day to day responsibilities. The variable and diverse nature of the Board’s work makes this difficult to report on within a quantifiable and measureable resource context and is not always obviously visible to other professionals and agencies. The process, management and publication of Child and Adult Practice Reviews, the development of regional protocols and policies are all examples of projects that require high levels of professional input, knowledge and expertise.”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group style="position:absolute;margin-left:45.638302pt;margin-top:13.49498pt;width:294.75pt;height:89.8pt;mso-position-horizontal-relative:page;mso-position-vertical-relative:paragraph;z-index:-15598592;mso-wrap-distance-left:0;mso-wrap-distance-right:0" coordorigin="913,270" coordsize="5895,1796">
            <v:shape style="position:absolute;left:1157;top:366;width:5650;height:1612" coordorigin="1158,366" coordsize="5650,1612" path="m6241,366l1725,366,1397,375,1229,437,1167,605,1158,933,1158,1411,1167,1739,1229,1907,1397,1969,1725,1978,6241,1978,6568,1969,6737,1907,6799,1739,6807,1411,6807,933,6799,605,6737,437,6568,375,6241,366xe" filled="true" fillcolor="#3e77a4" stroked="false">
              <v:path arrowok="t"/>
              <v:fill type="solid"/>
            </v:shape>
            <v:shape style="position:absolute;left:912;top:269;width:1796;height:1796" coordorigin="913,270" coordsize="1796,1796" path="m1811,270l1737,273,1665,282,1595,296,1527,316,1461,340,1398,370,1338,404,1280,443,1226,486,1176,533,1129,583,1086,637,1047,695,1013,755,983,818,959,884,939,952,925,1022,916,1094,913,1168,916,1241,925,1313,939,1384,959,1452,983,1517,1013,1580,1047,1641,1086,1698,1129,1752,1176,1803,1226,1849,1280,1892,1338,1931,1398,1965,1461,1995,1527,2020,1595,2040,1665,2054,1737,2063,1811,2066,1884,2063,1956,2054,2026,2040,2094,2020,2160,1995,2223,1965,2284,1931,2341,1892,2395,1849,2445,1803,2492,1752,2535,1698,2574,1641,2608,1580,2638,1517,2663,1452,2682,1384,2697,1313,2705,1241,2708,1168,2705,1094,2697,1022,2682,952,2663,884,2638,818,2608,755,2574,695,2535,637,2492,583,2445,533,2395,486,2341,443,2284,404,2223,370,2160,340,2094,316,2026,296,1956,282,1884,273,1811,270xe" filled="true" fillcolor="#d5583b" stroked="false">
              <v:path arrowok="t"/>
              <v:fill type="solid"/>
            </v:shape>
            <v:shape style="position:absolute;left:1252;top:442;width:1182;height:1402" coordorigin="1253,442" coordsize="1182,1402" path="m1531,944l1524,900,1433,913,1439,957,1531,944xm1550,784l1471,743,1449,783,1529,825,1550,784xm1582,1059l1557,1020,1481,1068,1506,1107,1582,1059xm1636,697l1585,628,1548,656,1599,724,1636,697xm1755,664l1744,584,1700,591,1711,671,1755,664xm1882,1281l1762,1299,1771,1306,1781,1313,1791,1320,1804,1328,1812,1328,1829,1326,1845,1321,1858,1311,1869,1297,1872,1292,1877,1288,1882,1281xm1891,1196l1888,1176,1880,1170,1730,1192,1724,1199,1727,1219,1735,1224,1810,1214,1885,1203,1891,1196xm1895,1252l1892,1231,1885,1225,1742,1246,1735,1253,1738,1274,1747,1279,1817,1269,1889,1259,1895,1252xm1905,605l1862,589,1833,669,1876,685,1905,605xm1954,896l1951,862,1940,821,1921,786,1894,756,1859,733,1822,718,1784,712,1746,713,1707,722,1636,758,1591,814,1574,883,1586,960,1595,981,1606,1002,1618,1021,1632,1040,1663,1079,1679,1100,1693,1121,1703,1145,1710,1170,1754,1164,1754,1160,1754,1156,1738,1114,1733,1101,1719,1078,1704,1056,1670,1014,1657,996,1644,977,1634,957,1626,936,1620,892,1627,850,1646,814,1679,784,1702,771,1726,763,1751,759,1777,758,1830,770,1872,799,1899,842,1909,896,1907,920,1901,944,1894,967,1885,990,1866,1037,1858,1061,1851,1086,1849,1102,1848,1118,1848,1134,1850,1150,1894,1144,1893,1113,1899,1083,1909,1054,1933,994,1944,962,1951,930,1954,896xm2036,700l2004,666,1939,729,1971,762,2036,700xm2084,982l1998,960,1987,1005,2073,1026,2084,982xm2094,864l2088,820,1996,833,2003,877,2094,864xm2435,1351l2433,1328,2392,1170,2392,1346,2266,1346,2266,1400,2266,1501,2266,1544,2261,1579,2243,1605,2217,1621,2185,1626,2122,1625,2059,1625,1933,1625,1914,1625,1914,1668,2014,1668,2040,1800,1487,1800,1487,1775,1486,1697,1481,1611,1472,1526,1456,1442,1433,1358,1414,1307,1394,1257,1373,1207,1352,1157,1341,1131,1330,1105,1319,1080,1309,1054,1304,1038,1300,1022,1298,1006,1297,990,1301,905,1317,827,1344,755,1383,691,1433,633,1494,581,1566,537,1630,508,1698,492,1767,485,1838,488,1912,500,1980,522,2041,553,2095,593,2144,642,2186,699,2223,764,2248,821,2269,879,2287,938,2303,999,2324,1082,2346,1165,2390,1335,2391,1339,2392,1346,2392,1170,2370,1083,2349,1002,2328,921,2307,852,2282,786,2251,722,2213,661,2160,596,2100,542,2032,500,1996,485,1958,469,1876,450,1817,442,1779,442,1750,445,1719,448,1703,449,1688,452,1611,473,1541,502,1478,539,1421,585,1372,639,1329,702,1293,773,1270,837,1256,903,1253,970,1262,1038,1272,1070,1283,1101,1296,1131,1310,1162,1344,1240,1375,1319,1402,1400,1423,1482,1436,1567,1442,1636,1445,1705,1446,1775,1442,1844,2091,1844,2082,1800,2056,1668,2073,1668,2133,1668,2179,1668,2192,1668,2234,1660,2268,1639,2278,1626,2293,1608,2304,1568,2306,1534,2306,1501,2306,1388,2313,1388,2318,1387,2343,1387,2372,1387,2385,1387,2388,1387,2411,1382,2427,1370,2435,1351xe" filled="true" fillcolor="#ffffff" stroked="false">
              <v:path arrowok="t"/>
              <v:fill type="solid"/>
            </v:shape>
            <v:line style="position:absolute" from="2958,1019" to="6558,1019" stroked="true" strokeweight="1pt" strokecolor="#ffffff">
              <v:stroke dashstyle="solid"/>
            </v:line>
            <v:shape style="position:absolute;left:912;top:269;width:5895;height:1796" type="#_x0000_t202" filled="false" stroked="false">
              <v:textbox inset="0,0,0,0">
                <w:txbxContent>
                  <w:p>
                    <w:pPr>
                      <w:spacing w:before="289"/>
                      <w:ind w:left="2045" w:right="0" w:firstLine="0"/>
                      <w:jc w:val="left"/>
                      <w:rPr>
                        <w:rFonts w:ascii="Avenir"/>
                        <w:b/>
                        <w:sz w:val="28"/>
                      </w:rPr>
                    </w:pPr>
                    <w:r>
                      <w:rPr>
                        <w:rFonts w:ascii="Avenir"/>
                        <w:b/>
                        <w:color w:val="FFFFFF"/>
                        <w:sz w:val="28"/>
                      </w:rPr>
                      <w:t>DID YOU KNOW?</w:t>
                    </w:r>
                  </w:p>
                  <w:p>
                    <w:pPr>
                      <w:spacing w:line="278" w:lineRule="exact" w:before="225"/>
                      <w:ind w:left="2045" w:right="0" w:firstLine="0"/>
                      <w:jc w:val="left"/>
                      <w:rPr>
                        <w:sz w:val="22"/>
                      </w:rPr>
                    </w:pPr>
                    <w:r>
                      <w:rPr>
                        <w:color w:val="FFFFFF"/>
                        <w:sz w:val="22"/>
                      </w:rPr>
                      <w:t>Expenditure reveals nothing of the</w:t>
                    </w:r>
                  </w:p>
                  <w:p>
                    <w:pPr>
                      <w:spacing w:line="278" w:lineRule="exact" w:before="0"/>
                      <w:ind w:left="2045" w:right="0" w:firstLine="0"/>
                      <w:jc w:val="left"/>
                      <w:rPr>
                        <w:sz w:val="22"/>
                      </w:rPr>
                    </w:pPr>
                    <w:r>
                      <w:rPr>
                        <w:color w:val="FFFFFF"/>
                        <w:sz w:val="22"/>
                      </w:rPr>
                      <w:t>relationship of cost to benefit</w:t>
                    </w:r>
                  </w:p>
                </w:txbxContent>
              </v:textbox>
              <w10:wrap type="none"/>
            </v:shape>
            <w10:wrap type="topAndBottom"/>
          </v:group>
        </w:pict>
      </w:r>
    </w:p>
    <w:p>
      <w:pPr>
        <w:spacing w:after="0"/>
        <w:rPr>
          <w:sz w:val="17"/>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60224" filled="true" fillcolor="#3b957d" stroked="false">
            <v:fill type="solid"/>
            <w10:wrap type="none"/>
          </v:rect>
        </w:pict>
      </w:r>
      <w:r>
        <w:rPr/>
        <w:pict>
          <v:shape style="position:absolute;margin-left:573.765198pt;margin-top:182.052719pt;width:15.7pt;height:477.8pt;mso-position-horizontal-relative:page;mso-position-vertical-relative:page;z-index:15860736"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35</w:t>
      </w:r>
    </w:p>
    <w:p>
      <w:pPr>
        <w:pStyle w:val="BodyText"/>
        <w:rPr>
          <w:sz w:val="30"/>
        </w:rPr>
      </w:pPr>
    </w:p>
    <w:p>
      <w:pPr>
        <w:pStyle w:val="BodyText"/>
        <w:rPr>
          <w:sz w:val="30"/>
        </w:rPr>
      </w:pPr>
    </w:p>
    <w:p>
      <w:pPr>
        <w:pStyle w:val="BodyText"/>
        <w:rPr>
          <w:sz w:val="38"/>
        </w:rPr>
      </w:pPr>
    </w:p>
    <w:p>
      <w:pPr>
        <w:pStyle w:val="BodyText"/>
        <w:spacing w:line="230" w:lineRule="auto"/>
        <w:ind w:left="360" w:right="640"/>
      </w:pPr>
      <w:r>
        <w:rPr>
          <w:color w:val="231F20"/>
        </w:rPr>
        <w:t>Mid and West Wales and Western Bay confirm the local authority and health funding as 60% and 25% respectively. It is not known whether all statutory funding partners are prodding the Regional Boards to</w:t>
      </w:r>
    </w:p>
    <w:p>
      <w:pPr>
        <w:pStyle w:val="BodyText"/>
        <w:spacing w:before="10"/>
        <w:rPr>
          <w:sz w:val="20"/>
        </w:rPr>
      </w:pPr>
    </w:p>
    <w:p>
      <w:pPr>
        <w:pStyle w:val="ListParagraph"/>
        <w:numPr>
          <w:ilvl w:val="0"/>
          <w:numId w:val="7"/>
        </w:numPr>
        <w:tabs>
          <w:tab w:pos="661" w:val="left" w:leader="none"/>
        </w:tabs>
        <w:spacing w:line="240" w:lineRule="auto" w:before="1" w:after="0"/>
        <w:ind w:left="660" w:right="0" w:hanging="301"/>
        <w:jc w:val="left"/>
        <w:rPr>
          <w:sz w:val="22"/>
        </w:rPr>
      </w:pPr>
      <w:r>
        <w:rPr>
          <w:color w:val="231F20"/>
          <w:sz w:val="22"/>
        </w:rPr>
        <w:t>nest the annual plans with foresight and attention to the long</w:t>
      </w:r>
      <w:r>
        <w:rPr>
          <w:color w:val="231F20"/>
          <w:spacing w:val="-1"/>
          <w:sz w:val="22"/>
        </w:rPr>
        <w:t> </w:t>
      </w:r>
      <w:r>
        <w:rPr>
          <w:color w:val="231F20"/>
          <w:sz w:val="22"/>
        </w:rPr>
        <w:t>term?</w:t>
      </w:r>
    </w:p>
    <w:p>
      <w:pPr>
        <w:pStyle w:val="ListParagraph"/>
        <w:numPr>
          <w:ilvl w:val="0"/>
          <w:numId w:val="7"/>
        </w:numPr>
        <w:tabs>
          <w:tab w:pos="661" w:val="left" w:leader="none"/>
        </w:tabs>
        <w:spacing w:line="230" w:lineRule="auto" w:before="224" w:after="0"/>
        <w:ind w:left="660" w:right="919" w:hanging="300"/>
        <w:jc w:val="left"/>
        <w:rPr>
          <w:sz w:val="22"/>
        </w:rPr>
      </w:pPr>
      <w:r>
        <w:rPr>
          <w:color w:val="231F20"/>
          <w:sz w:val="22"/>
        </w:rPr>
        <w:t>consider what resources will be deployed if a Board is not achieving the targets set out in </w:t>
      </w:r>
      <w:r>
        <w:rPr>
          <w:color w:val="231F20"/>
          <w:spacing w:val="-3"/>
          <w:sz w:val="22"/>
        </w:rPr>
        <w:t>annual </w:t>
      </w:r>
      <w:r>
        <w:rPr>
          <w:color w:val="231F20"/>
          <w:sz w:val="22"/>
        </w:rPr>
        <w:t>plans?</w:t>
      </w:r>
    </w:p>
    <w:p>
      <w:pPr>
        <w:pStyle w:val="ListParagraph"/>
        <w:numPr>
          <w:ilvl w:val="0"/>
          <w:numId w:val="7"/>
        </w:numPr>
        <w:tabs>
          <w:tab w:pos="661" w:val="left" w:leader="none"/>
        </w:tabs>
        <w:spacing w:line="240" w:lineRule="auto" w:before="218" w:after="0"/>
        <w:ind w:left="660" w:right="0" w:hanging="301"/>
        <w:jc w:val="left"/>
        <w:rPr>
          <w:sz w:val="22"/>
        </w:rPr>
      </w:pPr>
      <w:r>
        <w:rPr>
          <w:color w:val="231F20"/>
          <w:sz w:val="22"/>
        </w:rPr>
        <w:t>connect the skills and knowledge of particular individuals to specific tasks?</w:t>
      </w:r>
    </w:p>
    <w:p>
      <w:pPr>
        <w:pStyle w:val="ListParagraph"/>
        <w:numPr>
          <w:ilvl w:val="0"/>
          <w:numId w:val="7"/>
        </w:numPr>
        <w:tabs>
          <w:tab w:pos="661" w:val="left" w:leader="none"/>
        </w:tabs>
        <w:spacing w:line="240" w:lineRule="auto" w:before="215" w:after="0"/>
        <w:ind w:left="660" w:right="0" w:hanging="301"/>
        <w:jc w:val="left"/>
        <w:rPr>
          <w:sz w:val="22"/>
        </w:rPr>
      </w:pPr>
      <w:r>
        <w:rPr>
          <w:color w:val="231F20"/>
          <w:sz w:val="22"/>
        </w:rPr>
        <w:t>invest in new knowledge to improve future</w:t>
      </w:r>
      <w:r>
        <w:rPr>
          <w:color w:val="231F20"/>
          <w:spacing w:val="-1"/>
          <w:sz w:val="22"/>
        </w:rPr>
        <w:t> </w:t>
      </w:r>
      <w:r>
        <w:rPr>
          <w:color w:val="231F20"/>
          <w:sz w:val="22"/>
        </w:rPr>
        <w:t>performance?</w:t>
      </w:r>
    </w:p>
    <w:p>
      <w:pPr>
        <w:pStyle w:val="ListParagraph"/>
        <w:numPr>
          <w:ilvl w:val="0"/>
          <w:numId w:val="7"/>
        </w:numPr>
        <w:tabs>
          <w:tab w:pos="661" w:val="left" w:leader="none"/>
        </w:tabs>
        <w:spacing w:line="230" w:lineRule="auto" w:before="224" w:after="0"/>
        <w:ind w:left="660" w:right="777" w:hanging="300"/>
        <w:jc w:val="left"/>
        <w:rPr>
          <w:sz w:val="22"/>
        </w:rPr>
      </w:pPr>
      <w:r>
        <w:rPr>
          <w:color w:val="231F20"/>
          <w:sz w:val="22"/>
        </w:rPr>
        <w:t>connect funding to outcomes at different levels e.g. the child/ adult at risk; the persons alleged </w:t>
      </w:r>
      <w:r>
        <w:rPr>
          <w:color w:val="231F20"/>
          <w:spacing w:val="-8"/>
          <w:sz w:val="22"/>
        </w:rPr>
        <w:t>to </w:t>
      </w:r>
      <w:r>
        <w:rPr>
          <w:color w:val="231F20"/>
          <w:sz w:val="22"/>
        </w:rPr>
        <w:t>be responsible for the harm; the services and workforce; the commissioners; the national</w:t>
      </w:r>
      <w:r>
        <w:rPr>
          <w:color w:val="231F20"/>
          <w:spacing w:val="-18"/>
          <w:sz w:val="22"/>
        </w:rPr>
        <w:t> </w:t>
      </w:r>
      <w:r>
        <w:rPr>
          <w:color w:val="231F20"/>
          <w:sz w:val="22"/>
        </w:rPr>
        <w:t>agenda?</w:t>
      </w:r>
    </w:p>
    <w:p>
      <w:pPr>
        <w:pStyle w:val="BodyText"/>
        <w:rPr>
          <w:sz w:val="30"/>
        </w:rPr>
      </w:pPr>
    </w:p>
    <w:p>
      <w:pPr>
        <w:pStyle w:val="BodyText"/>
        <w:rPr>
          <w:sz w:val="29"/>
        </w:rPr>
      </w:pPr>
    </w:p>
    <w:p>
      <w:pPr>
        <w:pStyle w:val="BodyText"/>
        <w:ind w:left="360"/>
        <w:rPr>
          <w:rFonts w:ascii="Avenir"/>
          <w:b/>
        </w:rPr>
      </w:pPr>
      <w:r>
        <w:rPr>
          <w:color w:val="231F20"/>
        </w:rPr>
        <w:t>Funding for the Regional Boards in</w:t>
      </w:r>
      <w:r>
        <w:rPr>
          <w:color w:val="231F20"/>
          <w:spacing w:val="-4"/>
        </w:rPr>
        <w:t> </w:t>
      </w:r>
      <w:r>
        <w:rPr>
          <w:rFonts w:ascii="Avenir"/>
          <w:b/>
          <w:color w:val="231F20"/>
        </w:rPr>
        <w:t>2016-17</w:t>
      </w:r>
    </w:p>
    <w:p>
      <w:pPr>
        <w:pStyle w:val="BodyText"/>
        <w:spacing w:before="10"/>
        <w:rPr>
          <w:rFonts w:ascii="Avenir"/>
          <w:b/>
          <w:sz w:val="20"/>
        </w:rPr>
      </w:pPr>
    </w:p>
    <w:tbl>
      <w:tblPr>
        <w:tblW w:w="0" w:type="auto"/>
        <w:jc w:val="left"/>
        <w:tblInd w:w="3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166"/>
        <w:gridCol w:w="3406"/>
        <w:gridCol w:w="3406"/>
      </w:tblGrid>
      <w:tr>
        <w:trPr>
          <w:trHeight w:val="436" w:hRule="atLeast"/>
        </w:trPr>
        <w:tc>
          <w:tcPr>
            <w:tcW w:w="3166" w:type="dxa"/>
            <w:tcBorders>
              <w:top w:val="nil"/>
              <w:left w:val="nil"/>
            </w:tcBorders>
            <w:shd w:val="clear" w:color="auto" w:fill="3B957D"/>
          </w:tcPr>
          <w:p>
            <w:pPr>
              <w:pStyle w:val="TableParagraph"/>
              <w:spacing w:before="113"/>
              <w:ind w:left="113"/>
              <w:rPr>
                <w:rFonts w:ascii="Avenir"/>
                <w:b/>
                <w:sz w:val="22"/>
              </w:rPr>
            </w:pPr>
            <w:r>
              <w:rPr>
                <w:rFonts w:ascii="Avenir"/>
                <w:b/>
                <w:color w:val="FFFFFF"/>
                <w:sz w:val="22"/>
              </w:rPr>
              <w:t>Safeguarding Board Area</w:t>
            </w:r>
          </w:p>
        </w:tc>
        <w:tc>
          <w:tcPr>
            <w:tcW w:w="3406" w:type="dxa"/>
            <w:tcBorders>
              <w:top w:val="nil"/>
            </w:tcBorders>
            <w:shd w:val="clear" w:color="auto" w:fill="3B957D"/>
          </w:tcPr>
          <w:p>
            <w:pPr>
              <w:pStyle w:val="TableParagraph"/>
              <w:spacing w:before="113"/>
              <w:ind w:left="103"/>
              <w:rPr>
                <w:rFonts w:ascii="Avenir"/>
                <w:b/>
                <w:sz w:val="22"/>
              </w:rPr>
            </w:pPr>
            <w:r>
              <w:rPr>
                <w:rFonts w:ascii="Avenir"/>
                <w:b/>
                <w:color w:val="FFFFFF"/>
                <w:sz w:val="22"/>
              </w:rPr>
              <w:t>Overall resource</w:t>
            </w:r>
          </w:p>
        </w:tc>
        <w:tc>
          <w:tcPr>
            <w:tcW w:w="3406" w:type="dxa"/>
            <w:tcBorders>
              <w:top w:val="nil"/>
              <w:right w:val="nil"/>
            </w:tcBorders>
            <w:shd w:val="clear" w:color="auto" w:fill="3B957D"/>
          </w:tcPr>
          <w:p>
            <w:pPr>
              <w:pStyle w:val="TableParagraph"/>
              <w:spacing w:before="113"/>
              <w:ind w:left="103"/>
              <w:rPr>
                <w:rFonts w:ascii="Avenir"/>
                <w:b/>
                <w:sz w:val="22"/>
              </w:rPr>
            </w:pPr>
            <w:r>
              <w:rPr>
                <w:rFonts w:ascii="Avenir"/>
                <w:b/>
                <w:color w:val="FFFFFF"/>
                <w:sz w:val="22"/>
              </w:rPr>
              <w:t>Business Unit</w:t>
            </w:r>
          </w:p>
        </w:tc>
      </w:tr>
      <w:tr>
        <w:trPr>
          <w:trHeight w:val="426" w:hRule="atLeast"/>
        </w:trPr>
        <w:tc>
          <w:tcPr>
            <w:tcW w:w="3166" w:type="dxa"/>
            <w:tcBorders>
              <w:left w:val="nil"/>
            </w:tcBorders>
            <w:shd w:val="clear" w:color="auto" w:fill="3B957D"/>
          </w:tcPr>
          <w:p>
            <w:pPr>
              <w:pStyle w:val="TableParagraph"/>
              <w:spacing w:before="103"/>
              <w:ind w:left="113"/>
              <w:rPr>
                <w:sz w:val="22"/>
              </w:rPr>
            </w:pPr>
            <w:r>
              <w:rPr>
                <w:color w:val="FFFFFF"/>
                <w:sz w:val="22"/>
              </w:rPr>
              <w:t>Cardiff and Vale</w:t>
            </w:r>
          </w:p>
        </w:tc>
        <w:tc>
          <w:tcPr>
            <w:tcW w:w="3406" w:type="dxa"/>
            <w:shd w:val="clear" w:color="auto" w:fill="3B957D"/>
          </w:tcPr>
          <w:p>
            <w:pPr>
              <w:pStyle w:val="TableParagraph"/>
              <w:spacing w:before="103"/>
              <w:ind w:left="103"/>
              <w:rPr>
                <w:sz w:val="22"/>
              </w:rPr>
            </w:pPr>
            <w:r>
              <w:rPr>
                <w:color w:val="FFFFFF"/>
                <w:sz w:val="22"/>
              </w:rPr>
              <w:t>-</w:t>
            </w:r>
          </w:p>
        </w:tc>
        <w:tc>
          <w:tcPr>
            <w:tcW w:w="3406" w:type="dxa"/>
            <w:tcBorders>
              <w:right w:val="nil"/>
            </w:tcBorders>
            <w:shd w:val="clear" w:color="auto" w:fill="3B957D"/>
          </w:tcPr>
          <w:p>
            <w:pPr>
              <w:pStyle w:val="TableParagraph"/>
              <w:spacing w:before="103"/>
              <w:ind w:left="103"/>
              <w:rPr>
                <w:sz w:val="22"/>
              </w:rPr>
            </w:pPr>
            <w:r>
              <w:rPr>
                <w:color w:val="FFFFFF"/>
                <w:sz w:val="22"/>
              </w:rPr>
              <w:t>-</w:t>
            </w:r>
          </w:p>
        </w:tc>
      </w:tr>
      <w:tr>
        <w:trPr>
          <w:trHeight w:val="426" w:hRule="atLeast"/>
        </w:trPr>
        <w:tc>
          <w:tcPr>
            <w:tcW w:w="3166" w:type="dxa"/>
            <w:tcBorders>
              <w:left w:val="nil"/>
            </w:tcBorders>
            <w:shd w:val="clear" w:color="auto" w:fill="3B957D"/>
          </w:tcPr>
          <w:p>
            <w:pPr>
              <w:pStyle w:val="TableParagraph"/>
              <w:spacing w:before="103"/>
              <w:ind w:left="113"/>
              <w:rPr>
                <w:sz w:val="22"/>
              </w:rPr>
            </w:pPr>
            <w:r>
              <w:rPr>
                <w:color w:val="FFFFFF"/>
                <w:sz w:val="22"/>
              </w:rPr>
              <w:t>Cwm Taf</w:t>
            </w:r>
          </w:p>
        </w:tc>
        <w:tc>
          <w:tcPr>
            <w:tcW w:w="3406" w:type="dxa"/>
            <w:shd w:val="clear" w:color="auto" w:fill="3B957D"/>
          </w:tcPr>
          <w:p>
            <w:pPr>
              <w:pStyle w:val="TableParagraph"/>
              <w:spacing w:before="103"/>
              <w:ind w:left="103"/>
              <w:rPr>
                <w:sz w:val="22"/>
              </w:rPr>
            </w:pPr>
            <w:r>
              <w:rPr>
                <w:color w:val="FFFFFF"/>
                <w:sz w:val="22"/>
              </w:rPr>
              <w:t>£176,010.00</w:t>
            </w:r>
          </w:p>
        </w:tc>
        <w:tc>
          <w:tcPr>
            <w:tcW w:w="3406" w:type="dxa"/>
            <w:tcBorders>
              <w:right w:val="nil"/>
            </w:tcBorders>
            <w:shd w:val="clear" w:color="auto" w:fill="3B957D"/>
          </w:tcPr>
          <w:p>
            <w:pPr>
              <w:pStyle w:val="TableParagraph"/>
              <w:spacing w:before="103"/>
              <w:ind w:left="103"/>
              <w:rPr>
                <w:sz w:val="22"/>
              </w:rPr>
            </w:pPr>
            <w:r>
              <w:rPr>
                <w:color w:val="FFFFFF"/>
                <w:sz w:val="22"/>
              </w:rPr>
              <w:t>-</w:t>
            </w:r>
          </w:p>
        </w:tc>
      </w:tr>
      <w:tr>
        <w:trPr>
          <w:trHeight w:val="426" w:hRule="atLeast"/>
        </w:trPr>
        <w:tc>
          <w:tcPr>
            <w:tcW w:w="3166" w:type="dxa"/>
            <w:tcBorders>
              <w:left w:val="nil"/>
            </w:tcBorders>
            <w:shd w:val="clear" w:color="auto" w:fill="3B957D"/>
          </w:tcPr>
          <w:p>
            <w:pPr>
              <w:pStyle w:val="TableParagraph"/>
              <w:spacing w:before="103"/>
              <w:ind w:left="113"/>
              <w:rPr>
                <w:sz w:val="22"/>
              </w:rPr>
            </w:pPr>
            <w:r>
              <w:rPr>
                <w:color w:val="FFFFFF"/>
                <w:sz w:val="22"/>
              </w:rPr>
              <w:t>Gwent</w:t>
            </w:r>
          </w:p>
        </w:tc>
        <w:tc>
          <w:tcPr>
            <w:tcW w:w="3406" w:type="dxa"/>
            <w:shd w:val="clear" w:color="auto" w:fill="3B957D"/>
          </w:tcPr>
          <w:p>
            <w:pPr>
              <w:pStyle w:val="TableParagraph"/>
              <w:spacing w:before="103"/>
              <w:ind w:left="103"/>
              <w:rPr>
                <w:sz w:val="22"/>
              </w:rPr>
            </w:pPr>
            <w:r>
              <w:rPr>
                <w:color w:val="FFFFFF"/>
                <w:sz w:val="22"/>
              </w:rPr>
              <w:t>£355,000.00</w:t>
            </w:r>
          </w:p>
        </w:tc>
        <w:tc>
          <w:tcPr>
            <w:tcW w:w="3406" w:type="dxa"/>
            <w:tcBorders>
              <w:right w:val="nil"/>
            </w:tcBorders>
            <w:shd w:val="clear" w:color="auto" w:fill="3B957D"/>
          </w:tcPr>
          <w:p>
            <w:pPr>
              <w:pStyle w:val="TableParagraph"/>
              <w:spacing w:before="103"/>
              <w:ind w:left="103"/>
              <w:rPr>
                <w:sz w:val="22"/>
              </w:rPr>
            </w:pPr>
            <w:r>
              <w:rPr>
                <w:color w:val="FFFFFF"/>
                <w:sz w:val="22"/>
              </w:rPr>
              <w:t>£289,000.00</w:t>
            </w:r>
          </w:p>
        </w:tc>
      </w:tr>
      <w:tr>
        <w:trPr>
          <w:trHeight w:val="426" w:hRule="atLeast"/>
        </w:trPr>
        <w:tc>
          <w:tcPr>
            <w:tcW w:w="3166" w:type="dxa"/>
            <w:tcBorders>
              <w:left w:val="nil"/>
            </w:tcBorders>
            <w:shd w:val="clear" w:color="auto" w:fill="3B957D"/>
          </w:tcPr>
          <w:p>
            <w:pPr>
              <w:pStyle w:val="TableParagraph"/>
              <w:spacing w:before="103"/>
              <w:ind w:left="113"/>
              <w:rPr>
                <w:sz w:val="22"/>
              </w:rPr>
            </w:pPr>
            <w:r>
              <w:rPr>
                <w:color w:val="FFFFFF"/>
                <w:sz w:val="22"/>
              </w:rPr>
              <w:t>Mid and West</w:t>
            </w:r>
          </w:p>
        </w:tc>
        <w:tc>
          <w:tcPr>
            <w:tcW w:w="3406" w:type="dxa"/>
            <w:shd w:val="clear" w:color="auto" w:fill="3B957D"/>
          </w:tcPr>
          <w:p>
            <w:pPr>
              <w:pStyle w:val="TableParagraph"/>
              <w:spacing w:before="103"/>
              <w:ind w:left="103"/>
              <w:rPr>
                <w:sz w:val="22"/>
              </w:rPr>
            </w:pPr>
            <w:r>
              <w:rPr>
                <w:color w:val="FFFFFF"/>
                <w:sz w:val="22"/>
              </w:rPr>
              <w:t>£110,058.46</w:t>
            </w:r>
          </w:p>
        </w:tc>
        <w:tc>
          <w:tcPr>
            <w:tcW w:w="3406" w:type="dxa"/>
            <w:tcBorders>
              <w:right w:val="nil"/>
            </w:tcBorders>
            <w:shd w:val="clear" w:color="auto" w:fill="3B957D"/>
          </w:tcPr>
          <w:p>
            <w:pPr>
              <w:pStyle w:val="TableParagraph"/>
              <w:spacing w:before="103"/>
              <w:ind w:left="103"/>
              <w:rPr>
                <w:sz w:val="22"/>
              </w:rPr>
            </w:pPr>
            <w:r>
              <w:rPr>
                <w:color w:val="FFFFFF"/>
                <w:sz w:val="22"/>
              </w:rPr>
              <w:t>£ 73,343.41</w:t>
            </w:r>
          </w:p>
        </w:tc>
      </w:tr>
      <w:tr>
        <w:trPr>
          <w:trHeight w:val="426" w:hRule="atLeast"/>
        </w:trPr>
        <w:tc>
          <w:tcPr>
            <w:tcW w:w="3166" w:type="dxa"/>
            <w:tcBorders>
              <w:left w:val="nil"/>
            </w:tcBorders>
            <w:shd w:val="clear" w:color="auto" w:fill="3B957D"/>
          </w:tcPr>
          <w:p>
            <w:pPr>
              <w:pStyle w:val="TableParagraph"/>
              <w:spacing w:before="103"/>
              <w:ind w:left="113"/>
              <w:rPr>
                <w:sz w:val="22"/>
              </w:rPr>
            </w:pPr>
            <w:r>
              <w:rPr>
                <w:color w:val="FFFFFF"/>
                <w:sz w:val="22"/>
              </w:rPr>
              <w:t>North Wales</w:t>
            </w:r>
          </w:p>
        </w:tc>
        <w:tc>
          <w:tcPr>
            <w:tcW w:w="3406" w:type="dxa"/>
            <w:shd w:val="clear" w:color="auto" w:fill="3B957D"/>
          </w:tcPr>
          <w:p>
            <w:pPr>
              <w:pStyle w:val="TableParagraph"/>
              <w:spacing w:before="103"/>
              <w:ind w:left="103"/>
              <w:rPr>
                <w:sz w:val="22"/>
              </w:rPr>
            </w:pPr>
            <w:r>
              <w:rPr>
                <w:color w:val="FFFFFF"/>
                <w:sz w:val="22"/>
              </w:rPr>
              <w:t>£218,562.00</w:t>
            </w:r>
          </w:p>
        </w:tc>
        <w:tc>
          <w:tcPr>
            <w:tcW w:w="3406" w:type="dxa"/>
            <w:tcBorders>
              <w:right w:val="nil"/>
            </w:tcBorders>
            <w:shd w:val="clear" w:color="auto" w:fill="3B957D"/>
          </w:tcPr>
          <w:p>
            <w:pPr>
              <w:pStyle w:val="TableParagraph"/>
              <w:spacing w:before="103"/>
              <w:ind w:left="103"/>
              <w:rPr>
                <w:sz w:val="22"/>
              </w:rPr>
            </w:pPr>
            <w:r>
              <w:rPr>
                <w:color w:val="FFFFFF"/>
                <w:sz w:val="22"/>
              </w:rPr>
              <w:t>£173,148.00</w:t>
            </w:r>
          </w:p>
        </w:tc>
      </w:tr>
      <w:tr>
        <w:trPr>
          <w:trHeight w:val="436" w:hRule="atLeast"/>
        </w:trPr>
        <w:tc>
          <w:tcPr>
            <w:tcW w:w="3166" w:type="dxa"/>
            <w:tcBorders>
              <w:left w:val="nil"/>
              <w:bottom w:val="nil"/>
            </w:tcBorders>
            <w:shd w:val="clear" w:color="auto" w:fill="3B957D"/>
          </w:tcPr>
          <w:p>
            <w:pPr>
              <w:pStyle w:val="TableParagraph"/>
              <w:spacing w:before="103"/>
              <w:ind w:left="113"/>
              <w:rPr>
                <w:sz w:val="22"/>
              </w:rPr>
            </w:pPr>
            <w:r>
              <w:rPr>
                <w:color w:val="FFFFFF"/>
                <w:sz w:val="22"/>
              </w:rPr>
              <w:t>Western Bay</w:t>
            </w:r>
          </w:p>
        </w:tc>
        <w:tc>
          <w:tcPr>
            <w:tcW w:w="3406" w:type="dxa"/>
            <w:tcBorders>
              <w:bottom w:val="nil"/>
            </w:tcBorders>
            <w:shd w:val="clear" w:color="auto" w:fill="3B957D"/>
          </w:tcPr>
          <w:p>
            <w:pPr>
              <w:pStyle w:val="TableParagraph"/>
              <w:spacing w:before="103"/>
              <w:ind w:left="103"/>
              <w:rPr>
                <w:sz w:val="22"/>
              </w:rPr>
            </w:pPr>
            <w:r>
              <w:rPr>
                <w:color w:val="FFFFFF"/>
                <w:sz w:val="22"/>
              </w:rPr>
              <w:t>£185,323.00</w:t>
            </w:r>
          </w:p>
        </w:tc>
        <w:tc>
          <w:tcPr>
            <w:tcW w:w="3406" w:type="dxa"/>
            <w:tcBorders>
              <w:bottom w:val="nil"/>
              <w:right w:val="nil"/>
            </w:tcBorders>
            <w:shd w:val="clear" w:color="auto" w:fill="3B957D"/>
          </w:tcPr>
          <w:p>
            <w:pPr>
              <w:pStyle w:val="TableParagraph"/>
              <w:spacing w:before="103"/>
              <w:ind w:left="103"/>
              <w:rPr>
                <w:sz w:val="22"/>
              </w:rPr>
            </w:pPr>
            <w:r>
              <w:rPr>
                <w:color w:val="FFFFFF"/>
                <w:sz w:val="22"/>
              </w:rPr>
              <w:t>£138,023.00</w:t>
            </w:r>
          </w:p>
        </w:tc>
      </w:tr>
    </w:tbl>
    <w:p>
      <w:pPr>
        <w:pStyle w:val="BodyText"/>
        <w:spacing w:before="263"/>
        <w:ind w:left="360"/>
        <w:rPr>
          <w:rFonts w:ascii="Avenir"/>
          <w:b/>
        </w:rPr>
      </w:pPr>
      <w:r>
        <w:rPr>
          <w:color w:val="231F20"/>
        </w:rPr>
        <w:t>Funding for the Regional Boards in</w:t>
      </w:r>
      <w:r>
        <w:rPr>
          <w:color w:val="231F20"/>
          <w:spacing w:val="-4"/>
        </w:rPr>
        <w:t> </w:t>
      </w:r>
      <w:r>
        <w:rPr>
          <w:rFonts w:ascii="Avenir"/>
          <w:b/>
          <w:color w:val="231F20"/>
        </w:rPr>
        <w:t>2017-18</w:t>
      </w:r>
    </w:p>
    <w:p>
      <w:pPr>
        <w:pStyle w:val="BodyText"/>
        <w:spacing w:before="10"/>
        <w:rPr>
          <w:rFonts w:ascii="Avenir"/>
          <w:b/>
          <w:sz w:val="20"/>
        </w:rPr>
      </w:pPr>
    </w:p>
    <w:tbl>
      <w:tblPr>
        <w:tblW w:w="0" w:type="auto"/>
        <w:jc w:val="left"/>
        <w:tblInd w:w="3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156"/>
        <w:gridCol w:w="3406"/>
        <w:gridCol w:w="3416"/>
      </w:tblGrid>
      <w:tr>
        <w:trPr>
          <w:trHeight w:val="436" w:hRule="atLeast"/>
        </w:trPr>
        <w:tc>
          <w:tcPr>
            <w:tcW w:w="3156" w:type="dxa"/>
            <w:tcBorders>
              <w:top w:val="nil"/>
              <w:left w:val="nil"/>
            </w:tcBorders>
            <w:shd w:val="clear" w:color="auto" w:fill="3B957D"/>
          </w:tcPr>
          <w:p>
            <w:pPr>
              <w:pStyle w:val="TableParagraph"/>
              <w:spacing w:before="113"/>
              <w:ind w:left="113"/>
              <w:rPr>
                <w:rFonts w:ascii="Avenir"/>
                <w:b/>
                <w:sz w:val="22"/>
              </w:rPr>
            </w:pPr>
            <w:r>
              <w:rPr>
                <w:rFonts w:ascii="Avenir"/>
                <w:b/>
                <w:color w:val="FFFFFF"/>
                <w:sz w:val="22"/>
              </w:rPr>
              <w:t>Safeguarding Board Area</w:t>
            </w:r>
          </w:p>
        </w:tc>
        <w:tc>
          <w:tcPr>
            <w:tcW w:w="3406" w:type="dxa"/>
            <w:tcBorders>
              <w:top w:val="nil"/>
            </w:tcBorders>
            <w:shd w:val="clear" w:color="auto" w:fill="3B957D"/>
          </w:tcPr>
          <w:p>
            <w:pPr>
              <w:pStyle w:val="TableParagraph"/>
              <w:spacing w:before="113"/>
              <w:ind w:left="103"/>
              <w:rPr>
                <w:rFonts w:ascii="Avenir"/>
                <w:b/>
                <w:sz w:val="22"/>
              </w:rPr>
            </w:pPr>
            <w:r>
              <w:rPr>
                <w:rFonts w:ascii="Avenir"/>
                <w:b/>
                <w:color w:val="FFFFFF"/>
                <w:sz w:val="22"/>
              </w:rPr>
              <w:t>Total expenditure</w:t>
            </w:r>
          </w:p>
        </w:tc>
        <w:tc>
          <w:tcPr>
            <w:tcW w:w="3416" w:type="dxa"/>
            <w:tcBorders>
              <w:top w:val="nil"/>
              <w:right w:val="nil"/>
            </w:tcBorders>
            <w:shd w:val="clear" w:color="auto" w:fill="3B957D"/>
          </w:tcPr>
          <w:p>
            <w:pPr>
              <w:pStyle w:val="TableParagraph"/>
              <w:spacing w:before="113"/>
              <w:ind w:left="103"/>
              <w:rPr>
                <w:rFonts w:ascii="Avenir"/>
                <w:b/>
                <w:sz w:val="22"/>
              </w:rPr>
            </w:pPr>
            <w:r>
              <w:rPr>
                <w:rFonts w:ascii="Avenir"/>
                <w:b/>
                <w:color w:val="FFFFFF"/>
                <w:sz w:val="22"/>
              </w:rPr>
              <w:t>Business Unit</w:t>
            </w:r>
          </w:p>
        </w:tc>
      </w:tr>
      <w:tr>
        <w:trPr>
          <w:trHeight w:val="426" w:hRule="atLeast"/>
        </w:trPr>
        <w:tc>
          <w:tcPr>
            <w:tcW w:w="3156" w:type="dxa"/>
            <w:tcBorders>
              <w:left w:val="nil"/>
            </w:tcBorders>
            <w:shd w:val="clear" w:color="auto" w:fill="3B957D"/>
          </w:tcPr>
          <w:p>
            <w:pPr>
              <w:pStyle w:val="TableParagraph"/>
              <w:spacing w:before="103"/>
              <w:ind w:left="113"/>
              <w:rPr>
                <w:sz w:val="22"/>
              </w:rPr>
            </w:pPr>
            <w:r>
              <w:rPr>
                <w:color w:val="FFFFFF"/>
                <w:sz w:val="22"/>
              </w:rPr>
              <w:t>Cardiff and Vale</w:t>
            </w:r>
          </w:p>
        </w:tc>
        <w:tc>
          <w:tcPr>
            <w:tcW w:w="3406" w:type="dxa"/>
            <w:shd w:val="clear" w:color="auto" w:fill="3B957D"/>
          </w:tcPr>
          <w:p>
            <w:pPr>
              <w:pStyle w:val="TableParagraph"/>
              <w:spacing w:before="103"/>
              <w:ind w:left="103"/>
              <w:rPr>
                <w:sz w:val="22"/>
              </w:rPr>
            </w:pPr>
            <w:r>
              <w:rPr>
                <w:color w:val="FFFFFF"/>
                <w:sz w:val="22"/>
              </w:rPr>
              <w:t>133,842.27</w:t>
            </w:r>
          </w:p>
        </w:tc>
        <w:tc>
          <w:tcPr>
            <w:tcW w:w="3416" w:type="dxa"/>
            <w:tcBorders>
              <w:right w:val="nil"/>
            </w:tcBorders>
            <w:shd w:val="clear" w:color="auto" w:fill="3B957D"/>
          </w:tcPr>
          <w:p>
            <w:pPr>
              <w:pStyle w:val="TableParagraph"/>
              <w:spacing w:before="103"/>
              <w:ind w:left="103"/>
              <w:rPr>
                <w:sz w:val="22"/>
              </w:rPr>
            </w:pPr>
            <w:r>
              <w:rPr>
                <w:color w:val="FFFFFF"/>
                <w:sz w:val="22"/>
              </w:rPr>
              <w:t>88,429.67</w:t>
            </w:r>
          </w:p>
        </w:tc>
      </w:tr>
      <w:tr>
        <w:trPr>
          <w:trHeight w:val="426" w:hRule="atLeast"/>
        </w:trPr>
        <w:tc>
          <w:tcPr>
            <w:tcW w:w="3156" w:type="dxa"/>
            <w:tcBorders>
              <w:left w:val="nil"/>
            </w:tcBorders>
            <w:shd w:val="clear" w:color="auto" w:fill="3B957D"/>
          </w:tcPr>
          <w:p>
            <w:pPr>
              <w:pStyle w:val="TableParagraph"/>
              <w:spacing w:before="103"/>
              <w:ind w:left="113"/>
              <w:rPr>
                <w:sz w:val="22"/>
              </w:rPr>
            </w:pPr>
            <w:r>
              <w:rPr>
                <w:color w:val="FFFFFF"/>
                <w:sz w:val="22"/>
              </w:rPr>
              <w:t>Cwm Taf</w:t>
            </w:r>
          </w:p>
        </w:tc>
        <w:tc>
          <w:tcPr>
            <w:tcW w:w="3406" w:type="dxa"/>
            <w:shd w:val="clear" w:color="auto" w:fill="3B957D"/>
          </w:tcPr>
          <w:p>
            <w:pPr>
              <w:pStyle w:val="TableParagraph"/>
              <w:spacing w:before="103"/>
              <w:ind w:left="103"/>
              <w:rPr>
                <w:sz w:val="22"/>
              </w:rPr>
            </w:pPr>
            <w:r>
              <w:rPr>
                <w:color w:val="FFFFFF"/>
                <w:sz w:val="22"/>
              </w:rPr>
              <w:t>191,282.00</w:t>
            </w:r>
          </w:p>
        </w:tc>
        <w:tc>
          <w:tcPr>
            <w:tcW w:w="3416" w:type="dxa"/>
            <w:tcBorders>
              <w:right w:val="nil"/>
            </w:tcBorders>
            <w:shd w:val="clear" w:color="auto" w:fill="3B957D"/>
          </w:tcPr>
          <w:p>
            <w:pPr>
              <w:pStyle w:val="TableParagraph"/>
              <w:spacing w:before="103"/>
              <w:ind w:left="103"/>
              <w:rPr>
                <w:sz w:val="22"/>
              </w:rPr>
            </w:pPr>
            <w:r>
              <w:rPr>
                <w:color w:val="FFFFFF"/>
                <w:sz w:val="22"/>
              </w:rPr>
              <w:t>165,192.00</w:t>
            </w:r>
          </w:p>
        </w:tc>
      </w:tr>
      <w:tr>
        <w:trPr>
          <w:trHeight w:val="426" w:hRule="atLeast"/>
        </w:trPr>
        <w:tc>
          <w:tcPr>
            <w:tcW w:w="3156" w:type="dxa"/>
            <w:tcBorders>
              <w:left w:val="nil"/>
            </w:tcBorders>
            <w:shd w:val="clear" w:color="auto" w:fill="3B957D"/>
          </w:tcPr>
          <w:p>
            <w:pPr>
              <w:pStyle w:val="TableParagraph"/>
              <w:spacing w:before="103"/>
              <w:ind w:left="113"/>
              <w:rPr>
                <w:sz w:val="22"/>
              </w:rPr>
            </w:pPr>
            <w:r>
              <w:rPr>
                <w:color w:val="FFFFFF"/>
                <w:sz w:val="22"/>
              </w:rPr>
              <w:t>Gwent</w:t>
            </w:r>
          </w:p>
        </w:tc>
        <w:tc>
          <w:tcPr>
            <w:tcW w:w="3406" w:type="dxa"/>
            <w:shd w:val="clear" w:color="auto" w:fill="3B957D"/>
          </w:tcPr>
          <w:p>
            <w:pPr>
              <w:pStyle w:val="TableParagraph"/>
              <w:spacing w:before="103"/>
              <w:ind w:left="103"/>
              <w:rPr>
                <w:sz w:val="22"/>
              </w:rPr>
            </w:pPr>
            <w:r>
              <w:rPr>
                <w:color w:val="FFFFFF"/>
                <w:sz w:val="22"/>
              </w:rPr>
              <w:t>355,000.00</w:t>
            </w:r>
          </w:p>
        </w:tc>
        <w:tc>
          <w:tcPr>
            <w:tcW w:w="3416" w:type="dxa"/>
            <w:tcBorders>
              <w:right w:val="nil"/>
            </w:tcBorders>
            <w:shd w:val="clear" w:color="auto" w:fill="3B957D"/>
          </w:tcPr>
          <w:p>
            <w:pPr>
              <w:pStyle w:val="TableParagraph"/>
              <w:spacing w:before="103"/>
              <w:ind w:left="103"/>
              <w:rPr>
                <w:sz w:val="22"/>
              </w:rPr>
            </w:pPr>
            <w:r>
              <w:rPr>
                <w:color w:val="FFFFFF"/>
                <w:sz w:val="22"/>
              </w:rPr>
              <w:t>289,000.00</w:t>
            </w:r>
          </w:p>
        </w:tc>
      </w:tr>
      <w:tr>
        <w:trPr>
          <w:trHeight w:val="426" w:hRule="atLeast"/>
        </w:trPr>
        <w:tc>
          <w:tcPr>
            <w:tcW w:w="3156" w:type="dxa"/>
            <w:tcBorders>
              <w:left w:val="nil"/>
            </w:tcBorders>
            <w:shd w:val="clear" w:color="auto" w:fill="3B957D"/>
          </w:tcPr>
          <w:p>
            <w:pPr>
              <w:pStyle w:val="TableParagraph"/>
              <w:spacing w:before="103"/>
              <w:ind w:left="113"/>
              <w:rPr>
                <w:sz w:val="22"/>
              </w:rPr>
            </w:pPr>
            <w:r>
              <w:rPr>
                <w:color w:val="FFFFFF"/>
                <w:sz w:val="22"/>
              </w:rPr>
              <w:t>Mid and West Wales</w:t>
            </w:r>
          </w:p>
        </w:tc>
        <w:tc>
          <w:tcPr>
            <w:tcW w:w="3406" w:type="dxa"/>
            <w:shd w:val="clear" w:color="auto" w:fill="3B957D"/>
          </w:tcPr>
          <w:p>
            <w:pPr>
              <w:pStyle w:val="TableParagraph"/>
              <w:spacing w:before="103"/>
              <w:ind w:left="103"/>
              <w:rPr>
                <w:sz w:val="22"/>
              </w:rPr>
            </w:pPr>
            <w:r>
              <w:rPr>
                <w:color w:val="FFFFFF"/>
                <w:sz w:val="22"/>
              </w:rPr>
              <w:t>134,642.00</w:t>
            </w:r>
          </w:p>
        </w:tc>
        <w:tc>
          <w:tcPr>
            <w:tcW w:w="3416" w:type="dxa"/>
            <w:tcBorders>
              <w:right w:val="nil"/>
            </w:tcBorders>
            <w:shd w:val="clear" w:color="auto" w:fill="3B957D"/>
          </w:tcPr>
          <w:p>
            <w:pPr>
              <w:pStyle w:val="TableParagraph"/>
              <w:spacing w:before="103"/>
              <w:ind w:left="103"/>
              <w:rPr>
                <w:sz w:val="22"/>
              </w:rPr>
            </w:pPr>
            <w:r>
              <w:rPr>
                <w:color w:val="FFFFFF"/>
                <w:sz w:val="22"/>
              </w:rPr>
              <w:t>92,083.00</w:t>
            </w:r>
          </w:p>
        </w:tc>
      </w:tr>
      <w:tr>
        <w:trPr>
          <w:trHeight w:val="426" w:hRule="atLeast"/>
        </w:trPr>
        <w:tc>
          <w:tcPr>
            <w:tcW w:w="3156" w:type="dxa"/>
            <w:tcBorders>
              <w:left w:val="nil"/>
            </w:tcBorders>
            <w:shd w:val="clear" w:color="auto" w:fill="3B957D"/>
          </w:tcPr>
          <w:p>
            <w:pPr>
              <w:pStyle w:val="TableParagraph"/>
              <w:spacing w:before="103"/>
              <w:ind w:left="113"/>
              <w:rPr>
                <w:sz w:val="22"/>
              </w:rPr>
            </w:pPr>
            <w:r>
              <w:rPr>
                <w:color w:val="FFFFFF"/>
                <w:sz w:val="22"/>
              </w:rPr>
              <w:t>North Wales</w:t>
            </w:r>
          </w:p>
        </w:tc>
        <w:tc>
          <w:tcPr>
            <w:tcW w:w="3406" w:type="dxa"/>
            <w:shd w:val="clear" w:color="auto" w:fill="3B957D"/>
          </w:tcPr>
          <w:p>
            <w:pPr>
              <w:pStyle w:val="TableParagraph"/>
              <w:spacing w:before="103"/>
              <w:ind w:left="103"/>
              <w:rPr>
                <w:sz w:val="22"/>
              </w:rPr>
            </w:pPr>
            <w:r>
              <w:rPr>
                <w:color w:val="FFFFFF"/>
                <w:sz w:val="22"/>
              </w:rPr>
              <w:t>218,568.53</w:t>
            </w:r>
          </w:p>
        </w:tc>
        <w:tc>
          <w:tcPr>
            <w:tcW w:w="3416" w:type="dxa"/>
            <w:tcBorders>
              <w:right w:val="nil"/>
            </w:tcBorders>
            <w:shd w:val="clear" w:color="auto" w:fill="3B957D"/>
          </w:tcPr>
          <w:p>
            <w:pPr>
              <w:pStyle w:val="TableParagraph"/>
              <w:spacing w:before="103"/>
              <w:ind w:left="103"/>
              <w:rPr>
                <w:sz w:val="22"/>
              </w:rPr>
            </w:pPr>
            <w:r>
              <w:rPr>
                <w:color w:val="FFFFFF"/>
                <w:sz w:val="22"/>
              </w:rPr>
              <w:t>123,275.10</w:t>
            </w:r>
          </w:p>
        </w:tc>
      </w:tr>
      <w:tr>
        <w:trPr>
          <w:trHeight w:val="436" w:hRule="atLeast"/>
        </w:trPr>
        <w:tc>
          <w:tcPr>
            <w:tcW w:w="3156" w:type="dxa"/>
            <w:tcBorders>
              <w:left w:val="nil"/>
              <w:bottom w:val="nil"/>
            </w:tcBorders>
            <w:shd w:val="clear" w:color="auto" w:fill="3B957D"/>
          </w:tcPr>
          <w:p>
            <w:pPr>
              <w:pStyle w:val="TableParagraph"/>
              <w:spacing w:before="103"/>
              <w:ind w:left="113"/>
              <w:rPr>
                <w:sz w:val="22"/>
              </w:rPr>
            </w:pPr>
            <w:r>
              <w:rPr>
                <w:color w:val="FFFFFF"/>
                <w:sz w:val="22"/>
              </w:rPr>
              <w:t>Western Bay</w:t>
            </w:r>
          </w:p>
        </w:tc>
        <w:tc>
          <w:tcPr>
            <w:tcW w:w="3406" w:type="dxa"/>
            <w:tcBorders>
              <w:bottom w:val="nil"/>
            </w:tcBorders>
            <w:shd w:val="clear" w:color="auto" w:fill="3B957D"/>
          </w:tcPr>
          <w:p>
            <w:pPr>
              <w:pStyle w:val="TableParagraph"/>
              <w:spacing w:before="103"/>
              <w:ind w:left="103"/>
              <w:rPr>
                <w:sz w:val="22"/>
              </w:rPr>
            </w:pPr>
            <w:r>
              <w:rPr>
                <w:color w:val="FFFFFF"/>
                <w:sz w:val="22"/>
              </w:rPr>
              <w:t>185,326.00</w:t>
            </w:r>
          </w:p>
        </w:tc>
        <w:tc>
          <w:tcPr>
            <w:tcW w:w="3416" w:type="dxa"/>
            <w:tcBorders>
              <w:bottom w:val="nil"/>
              <w:right w:val="nil"/>
            </w:tcBorders>
            <w:shd w:val="clear" w:color="auto" w:fill="3B957D"/>
          </w:tcPr>
          <w:p>
            <w:pPr>
              <w:pStyle w:val="TableParagraph"/>
              <w:spacing w:before="103"/>
              <w:ind w:left="103"/>
              <w:rPr>
                <w:sz w:val="22"/>
              </w:rPr>
            </w:pPr>
            <w:r>
              <w:rPr>
                <w:color w:val="FFFFFF"/>
                <w:sz w:val="22"/>
              </w:rPr>
              <w:t>-</w:t>
            </w:r>
          </w:p>
        </w:tc>
      </w:tr>
    </w:tbl>
    <w:p>
      <w:pPr>
        <w:spacing w:after="0"/>
        <w:rPr>
          <w:sz w:val="22"/>
        </w:rPr>
        <w:sectPr>
          <w:pgSz w:w="11910" w:h="16840"/>
          <w:pgMar w:top="0" w:bottom="0" w:left="320" w:right="560"/>
        </w:sectPr>
      </w:pPr>
    </w:p>
    <w:p>
      <w:pPr>
        <w:pStyle w:val="BodyText"/>
        <w:rPr>
          <w:rFonts w:ascii="Avenir"/>
          <w:b/>
          <w:sz w:val="20"/>
        </w:rPr>
      </w:pPr>
      <w:r>
        <w:rPr/>
        <w:pict>
          <v:rect style="position:absolute;margin-left:0pt;margin-top:0pt;width:28.346pt;height:841.890015pt;mso-position-horizontal-relative:page;mso-position-vertical-relative:page;z-index:-17715200" filled="true" fillcolor="#3b957d" stroked="false">
            <v:fill type="solid"/>
            <w10:wrap type="none"/>
          </v:rect>
        </w:pict>
      </w:r>
    </w:p>
    <w:p>
      <w:pPr>
        <w:pStyle w:val="BodyText"/>
        <w:spacing w:before="2"/>
        <w:rPr>
          <w:rFonts w:ascii="Avenir"/>
          <w:b/>
          <w:sz w:val="21"/>
        </w:rPr>
      </w:pPr>
    </w:p>
    <w:p>
      <w:pPr>
        <w:tabs>
          <w:tab w:pos="7398" w:val="left" w:leader="none"/>
        </w:tabs>
        <w:spacing w:before="100"/>
        <w:ind w:left="927" w:right="0" w:firstLine="0"/>
        <w:jc w:val="left"/>
        <w:rPr>
          <w:sz w:val="16"/>
        </w:rPr>
      </w:pPr>
      <w:r>
        <w:rPr>
          <w:color w:val="231F20"/>
          <w:sz w:val="16"/>
        </w:rPr>
        <w:t>36</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6"/>
        <w:rPr>
          <w:sz w:val="23"/>
        </w:rPr>
      </w:pPr>
    </w:p>
    <w:p>
      <w:pPr>
        <w:pStyle w:val="Heading1"/>
        <w:spacing w:line="211" w:lineRule="auto"/>
        <w:ind w:left="927" w:right="283"/>
      </w:pPr>
      <w:r>
        <w:rPr>
          <w:color w:val="3B957D"/>
        </w:rPr>
        <w:t>Underlying themes in the way the Safeguarding Boards exercised their functions as shown by an analysis of cases dealt with and any changes it has put into practice</w:t>
      </w:r>
    </w:p>
    <w:p>
      <w:pPr>
        <w:pStyle w:val="BodyText"/>
        <w:spacing w:line="230" w:lineRule="auto" w:before="235"/>
        <w:ind w:left="927"/>
      </w:pPr>
      <w:r>
        <w:rPr/>
        <w:pict>
          <v:shape style="position:absolute;margin-left:7.0315pt;margin-top:10.107202pt;width:15.7pt;height:477.8pt;mso-position-horizontal-relative:page;mso-position-vertical-relative:paragraph;z-index:-17714688"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color w:val="231F20"/>
        </w:rPr>
        <w:t>The learning arising from Practice Reviews, Domestic Homicide Reviews, research, audits and the Regional Boards’ “data” are all rich sources of themes. Four Regional Boards set out the “macro themes” – Mid and West Wales and North Wales’ Board presented case studies to exemplify themes.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r>
        <w:rPr/>
        <w:pict>
          <v:group style="position:absolute;margin-left:142.386307pt;margin-top:18.886379pt;width:419.75pt;height:115.2pt;mso-position-horizontal-relative:page;mso-position-vertical-relative:paragraph;z-index:-15596032;mso-wrap-distance-left:0;mso-wrap-distance-right:0" coordorigin="2848,378" coordsize="8395,2304">
            <v:shape style="position:absolute;left:3917;top:479;width:7325;height:2155" coordorigin="3918,480" coordsize="7325,2155" path="m10676,480l4485,480,4157,489,3989,551,3927,719,3918,1047,3918,2067,3927,2395,3989,2563,4157,2625,4485,2634,10676,2634,11004,2625,11172,2563,11234,2395,11243,2067,11243,1047,11234,719,11172,551,11004,489,10676,480xe" filled="true" fillcolor="#3e77a4" stroked="false">
              <v:path arrowok="t"/>
              <v:fill type="solid"/>
            </v:shape>
            <v:shape style="position:absolute;left:2847;top:377;width:2304;height:2304" coordorigin="2848,378" coordsize="2304,2304" path="m3999,378l3924,380,3849,387,3776,399,3705,416,3635,436,3568,461,3502,490,3439,523,3378,560,3319,600,3263,644,3210,690,3160,740,3114,793,3070,849,3030,908,2993,969,2960,1032,2931,1098,2906,1165,2886,1235,2869,1306,2857,1379,2850,1454,2848,1529,2850,1605,2857,1679,2869,1752,2886,1824,2906,1893,2931,1961,2960,2027,2993,2090,3030,2151,3070,2209,3114,2265,3160,2318,3210,2368,3263,2415,3319,2459,3378,2499,3439,2535,3502,2568,3568,2597,3635,2622,3705,2643,3776,2659,3849,2671,3924,2678,3999,2681,4075,2678,4149,2671,4222,2659,4294,2643,4363,2622,4431,2597,4497,2568,4560,2535,4621,2499,4679,2459,4735,2415,4788,2368,4838,2318,4885,2265,4929,2209,4969,2151,5005,2090,5038,2027,5067,1961,5092,1893,5113,1824,5129,1752,5141,1679,5148,1605,5151,1529,5148,1454,5141,1379,5129,1306,5113,1235,5092,1165,5067,1098,5038,1032,5005,969,4969,908,4929,849,4885,793,4838,740,4788,690,4735,644,4679,600,4621,560,4560,523,4497,490,4431,461,4363,436,4294,416,4222,399,4149,387,4075,380,3999,378xe" filled="true" fillcolor="#d5583b" stroked="false">
              <v:path arrowok="t"/>
              <v:fill type="solid"/>
            </v:shape>
            <v:shape style="position:absolute;left:3283;top:598;width:1516;height:1798" coordorigin="3284,599" coordsize="1516,1798" path="m3640,1243l3632,1186,3515,1203,3523,1259,3640,1243xm3666,1037l3563,984,3536,1036,3638,1089,3666,1037xm3706,1389l3674,1340,3577,1402,3608,1451,3706,1389xm3775,925l3710,837,3663,872,3728,960,3775,925xm3928,884l3914,781,3857,789,3872,892,3928,884xm4091,1675l3936,1697,3948,1707,3961,1716,3974,1724,3990,1735,4001,1734,4023,1732,4043,1725,4060,1713,4075,1695,4078,1689,4084,1683,4091,1675xm4102,1565l4098,1540,4088,1533,3896,1560,3889,1569,3892,1595,3902,1602,3998,1588,4094,1575,4102,1565xm4108,1637l4104,1610,4094,1603,3911,1629,3902,1639,3906,1665,3917,1672,4008,1660,4100,1646,4108,1637xm4120,807l4065,787,4027,889,4083,910,4120,807xm4183,1181l4180,1137,4165,1085,4141,1039,4107,1001,4061,971,4014,953,3965,945,3916,947,3866,957,3791,993,3737,1045,3705,1110,3696,1184,3711,1263,3722,1290,3737,1316,3753,1341,3771,1365,3810,1415,3830,1442,3848,1470,3862,1500,3870,1533,3927,1525,3926,1519,3926,1514,3913,1476,3907,1460,3899,1444,3882,1414,3862,1386,3819,1332,3802,1309,3786,1285,3772,1259,3762,1232,3755,1175,3763,1122,3789,1075,3831,1037,3860,1021,3891,1010,3923,1005,3956,1004,4024,1019,4078,1056,4113,1112,4125,1180,4122,1212,4116,1242,4106,1272,4095,1301,4082,1331,4070,1361,4060,1392,4052,1424,4048,1445,4047,1465,4047,1486,4049,1507,4106,1499,4105,1459,4113,1420,4125,1383,4156,1307,4170,1266,4180,1224,4183,1181xm4288,929l4247,886,4164,966,4205,1009,4288,929xm4350,1291l4240,1263,4225,1320,4336,1348,4350,1291xm4363,1139l4355,1083,4237,1100,4246,1156,4363,1139xm4800,1765l4798,1734,4745,1532,4745,1758,4584,1758,4583,1811,4583,1855,4583,1913,4583,1963,4584,2012,4577,2057,4554,2090,4521,2111,4480,2117,4399,2116,4318,2116,4157,2116,4132,2116,4132,2170,4260,2170,4294,2340,3584,2340,3584,2308,3584,2240,3581,2161,3576,2082,3567,2004,3554,1927,3537,1850,3515,1774,3491,1708,3465,1644,3438,1579,3412,1515,3397,1482,3383,1449,3369,1416,3356,1383,3349,1363,3345,1343,3341,1322,3340,1301,3343,1216,3355,1135,3376,1060,3406,991,3445,926,3492,867,3548,813,3612,764,3685,720,3751,690,3820,669,3890,657,3961,654,4034,657,4118,670,4195,692,4266,724,4330,765,4388,815,4441,872,4487,938,4528,1011,4561,1084,4588,1159,4611,1235,4631,1312,4653,1397,4675,1483,4719,1653,4743,1743,4744,1749,4745,1758,4745,1532,4721,1436,4701,1361,4682,1287,4662,1212,4642,1142,4618,1073,4589,1006,4555,941,4515,879,4467,819,4415,765,4358,719,4297,680,4241,654,4230,649,4159,625,4083,609,4007,599,3958,599,3922,602,3882,606,3862,608,3842,611,3765,631,3692,657,3626,690,3564,729,3508,775,3457,827,3411,886,3370,951,3335,1022,3305,1105,3288,1190,3284,1276,3296,1363,3308,1404,3323,1444,3339,1483,3357,1522,3388,1593,3418,1665,3446,1738,3470,1812,3491,1887,3508,1963,3519,2041,3526,2130,3531,2219,3531,2308,3526,2397,4359,2397,4347,2340,4314,2171,4336,2171,4413,2171,4472,2171,4489,2171,4542,2161,4586,2134,4599,2117,4618,2094,4632,2043,4634,2000,4635,1963,4635,1812,4643,1811,4650,1811,4684,1811,4719,1811,4732,1811,4739,1811,4769,1805,4790,1789,4800,1765xe" filled="true" fillcolor="#ffffff" stroked="false">
              <v:path arrowok="t"/>
              <v:fill type="solid"/>
            </v:shape>
            <v:line style="position:absolute" from="5469,1147" to="10795,1147" stroked="true" strokeweight="1pt" strokecolor="#ffffff">
              <v:stroke dashstyle="solid"/>
            </v:line>
            <v:shape style="position:absolute;left:2847;top:377;width:8395;height:2304" type="#_x0000_t202" filled="false" stroked="false">
              <v:textbox inset="0,0,0,0">
                <w:txbxContent>
                  <w:p>
                    <w:pPr>
                      <w:spacing w:before="309"/>
                      <w:ind w:left="2621" w:right="0" w:firstLine="0"/>
                      <w:jc w:val="left"/>
                      <w:rPr>
                        <w:rFonts w:ascii="Avenir"/>
                        <w:b/>
                        <w:sz w:val="28"/>
                      </w:rPr>
                    </w:pPr>
                    <w:r>
                      <w:rPr>
                        <w:rFonts w:ascii="Avenir"/>
                        <w:b/>
                        <w:color w:val="FFFFFF"/>
                        <w:sz w:val="28"/>
                      </w:rPr>
                      <w:t>DID YOU KNOW?</w:t>
                    </w:r>
                  </w:p>
                  <w:p>
                    <w:pPr>
                      <w:spacing w:line="218" w:lineRule="auto" w:before="245"/>
                      <w:ind w:left="2621" w:right="458" w:firstLine="58"/>
                      <w:jc w:val="left"/>
                      <w:rPr>
                        <w:sz w:val="22"/>
                      </w:rPr>
                    </w:pPr>
                    <w:r>
                      <w:rPr>
                        <w:color w:val="FFFFFF"/>
                        <w:sz w:val="22"/>
                      </w:rPr>
                      <w:t>If </w:t>
                    </w:r>
                    <w:r>
                      <w:rPr>
                        <w:color w:val="FFFFFF"/>
                        <w:spacing w:val="-3"/>
                        <w:sz w:val="22"/>
                      </w:rPr>
                      <w:t>Regional </w:t>
                    </w:r>
                    <w:r>
                      <w:rPr>
                        <w:color w:val="FFFFFF"/>
                        <w:spacing w:val="-4"/>
                        <w:sz w:val="22"/>
                      </w:rPr>
                      <w:t>Boards were </w:t>
                    </w:r>
                    <w:r>
                      <w:rPr>
                        <w:color w:val="FFFFFF"/>
                        <w:sz w:val="22"/>
                      </w:rPr>
                      <w:t>to </w:t>
                    </w:r>
                    <w:r>
                      <w:rPr>
                        <w:color w:val="FFFFFF"/>
                        <w:spacing w:val="-3"/>
                        <w:sz w:val="22"/>
                      </w:rPr>
                      <w:t>“track” over time the changes which have </w:t>
                    </w:r>
                    <w:r>
                      <w:rPr>
                        <w:color w:val="FFFFFF"/>
                        <w:spacing w:val="-4"/>
                        <w:sz w:val="22"/>
                      </w:rPr>
                      <w:t>resulted from </w:t>
                    </w:r>
                    <w:r>
                      <w:rPr>
                        <w:color w:val="FFFFFF"/>
                        <w:spacing w:val="-3"/>
                        <w:sz w:val="22"/>
                      </w:rPr>
                      <w:t>particular events and themes, they would </w:t>
                    </w:r>
                    <w:r>
                      <w:rPr>
                        <w:color w:val="FFFFFF"/>
                        <w:sz w:val="22"/>
                      </w:rPr>
                      <w:t>be in a </w:t>
                    </w:r>
                    <w:r>
                      <w:rPr>
                        <w:color w:val="FFFFFF"/>
                        <w:spacing w:val="-4"/>
                        <w:sz w:val="22"/>
                      </w:rPr>
                      <w:t>strong </w:t>
                    </w:r>
                    <w:r>
                      <w:rPr>
                        <w:color w:val="FFFFFF"/>
                        <w:spacing w:val="-3"/>
                        <w:sz w:val="22"/>
                      </w:rPr>
                      <w:t>position </w:t>
                    </w:r>
                    <w:r>
                      <w:rPr>
                        <w:color w:val="FFFFFF"/>
                        <w:sz w:val="22"/>
                      </w:rPr>
                      <w:t>to </w:t>
                    </w:r>
                    <w:r>
                      <w:rPr>
                        <w:color w:val="FFFFFF"/>
                        <w:spacing w:val="-3"/>
                        <w:sz w:val="22"/>
                      </w:rPr>
                      <w:t>identify </w:t>
                    </w:r>
                    <w:r>
                      <w:rPr>
                        <w:color w:val="FFFFFF"/>
                        <w:spacing w:val="-4"/>
                        <w:sz w:val="22"/>
                      </w:rPr>
                      <w:t>effective </w:t>
                    </w:r>
                    <w:r>
                      <w:rPr>
                        <w:color w:val="FFFFFF"/>
                        <w:spacing w:val="-3"/>
                        <w:sz w:val="22"/>
                      </w:rPr>
                      <w:t>changes.</w:t>
                    </w:r>
                  </w:p>
                </w:txbxContent>
              </v:textbox>
              <w10:wrap type="none"/>
            </v:shape>
            <w10:wrap type="topAndBottom"/>
          </v:group>
        </w:pict>
      </w:r>
    </w:p>
    <w:p>
      <w:pPr>
        <w:spacing w:after="0"/>
        <w:rPr>
          <w:sz w:val="25"/>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62784" filled="true" fillcolor="#3b957d" stroked="false">
            <v:fill type="solid"/>
            <w10:wrap type="none"/>
          </v:rect>
        </w:pict>
      </w:r>
      <w:r>
        <w:rPr/>
        <w:pict>
          <v:shape style="position:absolute;margin-left:573.765198pt;margin-top:182.052719pt;width:15.7pt;height:477.8pt;mso-position-horizontal-relative:page;mso-position-vertical-relative:page;z-index:15863296"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37</w:t>
      </w:r>
    </w:p>
    <w:p>
      <w:pPr>
        <w:pStyle w:val="BodyText"/>
        <w:rPr>
          <w:sz w:val="20"/>
        </w:rPr>
      </w:pPr>
    </w:p>
    <w:p>
      <w:pPr>
        <w:pStyle w:val="BodyText"/>
        <w:rPr>
          <w:sz w:val="20"/>
        </w:rPr>
      </w:pPr>
    </w:p>
    <w:p>
      <w:pPr>
        <w:pStyle w:val="BodyText"/>
        <w:rPr>
          <w:sz w:val="20"/>
        </w:rPr>
      </w:pPr>
    </w:p>
    <w:p>
      <w:pPr>
        <w:pStyle w:val="BodyText"/>
        <w:spacing w:before="3"/>
        <w:rPr>
          <w:sz w:val="20"/>
        </w:rPr>
      </w:pPr>
    </w:p>
    <w:tbl>
      <w:tblPr>
        <w:tblW w:w="0" w:type="auto"/>
        <w:jc w:val="left"/>
        <w:tblInd w:w="3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63"/>
        <w:gridCol w:w="3243"/>
        <w:gridCol w:w="5273"/>
      </w:tblGrid>
      <w:tr>
        <w:trPr>
          <w:trHeight w:val="420" w:hRule="atLeast"/>
        </w:trPr>
        <w:tc>
          <w:tcPr>
            <w:tcW w:w="1463" w:type="dxa"/>
            <w:tcBorders>
              <w:top w:val="nil"/>
              <w:left w:val="nil"/>
            </w:tcBorders>
            <w:shd w:val="clear" w:color="auto" w:fill="3B957D"/>
          </w:tcPr>
          <w:p>
            <w:pPr>
              <w:pStyle w:val="TableParagraph"/>
              <w:rPr>
                <w:rFonts w:ascii="Times New Roman"/>
                <w:sz w:val="20"/>
              </w:rPr>
            </w:pPr>
          </w:p>
        </w:tc>
        <w:tc>
          <w:tcPr>
            <w:tcW w:w="3243" w:type="dxa"/>
            <w:tcBorders>
              <w:top w:val="nil"/>
            </w:tcBorders>
            <w:shd w:val="clear" w:color="auto" w:fill="3B957D"/>
          </w:tcPr>
          <w:p>
            <w:pPr>
              <w:pStyle w:val="TableParagraph"/>
              <w:spacing w:before="117"/>
              <w:ind w:left="103"/>
              <w:rPr>
                <w:rFonts w:ascii="Avenir"/>
                <w:b/>
                <w:sz w:val="20"/>
              </w:rPr>
            </w:pPr>
            <w:r>
              <w:rPr>
                <w:rFonts w:ascii="Avenir"/>
                <w:b/>
                <w:color w:val="FFFFFF"/>
                <w:sz w:val="20"/>
              </w:rPr>
              <w:t>Themes concerning children</w:t>
            </w:r>
          </w:p>
        </w:tc>
        <w:tc>
          <w:tcPr>
            <w:tcW w:w="5273" w:type="dxa"/>
            <w:tcBorders>
              <w:top w:val="nil"/>
              <w:right w:val="nil"/>
            </w:tcBorders>
            <w:shd w:val="clear" w:color="auto" w:fill="3B957D"/>
          </w:tcPr>
          <w:p>
            <w:pPr>
              <w:pStyle w:val="TableParagraph"/>
              <w:spacing w:before="117"/>
              <w:ind w:left="102"/>
              <w:rPr>
                <w:rFonts w:ascii="Avenir"/>
                <w:b/>
                <w:sz w:val="20"/>
              </w:rPr>
            </w:pPr>
            <w:r>
              <w:rPr>
                <w:rFonts w:ascii="Avenir"/>
                <w:b/>
                <w:color w:val="FFFFFF"/>
                <w:sz w:val="20"/>
              </w:rPr>
              <w:t>Changes put into practice</w:t>
            </w:r>
          </w:p>
        </w:tc>
      </w:tr>
      <w:tr>
        <w:trPr>
          <w:trHeight w:val="1214" w:hRule="atLeast"/>
        </w:trPr>
        <w:tc>
          <w:tcPr>
            <w:tcW w:w="1463" w:type="dxa"/>
            <w:tcBorders>
              <w:left w:val="nil"/>
            </w:tcBorders>
            <w:shd w:val="clear" w:color="auto" w:fill="3B957D"/>
          </w:tcPr>
          <w:p>
            <w:pPr>
              <w:pStyle w:val="TableParagraph"/>
              <w:spacing w:line="228" w:lineRule="auto" w:before="117"/>
              <w:ind w:left="521" w:right="89" w:firstLine="170"/>
              <w:rPr>
                <w:rFonts w:ascii="Avenir"/>
                <w:b/>
                <w:sz w:val="20"/>
              </w:rPr>
            </w:pPr>
            <w:r>
              <w:rPr>
                <w:rFonts w:ascii="Avenir"/>
                <w:b/>
                <w:color w:val="FFFFFF"/>
                <w:sz w:val="20"/>
              </w:rPr>
              <w:t>Cardiff and Vale</w:t>
            </w:r>
          </w:p>
        </w:tc>
        <w:tc>
          <w:tcPr>
            <w:tcW w:w="3243" w:type="dxa"/>
            <w:shd w:val="clear" w:color="auto" w:fill="3B957D"/>
          </w:tcPr>
          <w:p>
            <w:pPr>
              <w:pStyle w:val="TableParagraph"/>
              <w:numPr>
                <w:ilvl w:val="0"/>
                <w:numId w:val="8"/>
              </w:numPr>
              <w:tabs>
                <w:tab w:pos="323" w:val="left" w:leader="none"/>
              </w:tabs>
              <w:spacing w:line="240" w:lineRule="auto" w:before="107" w:after="0"/>
              <w:ind w:left="322" w:right="0" w:hanging="220"/>
              <w:jc w:val="left"/>
              <w:rPr>
                <w:sz w:val="20"/>
              </w:rPr>
            </w:pPr>
            <w:r>
              <w:rPr>
                <w:color w:val="FFFFFF"/>
                <w:sz w:val="20"/>
              </w:rPr>
              <w:t>Complaints</w:t>
            </w:r>
            <w:r>
              <w:rPr>
                <w:color w:val="FFFFFF"/>
                <w:spacing w:val="2"/>
                <w:sz w:val="20"/>
              </w:rPr>
              <w:t> </w:t>
            </w:r>
            <w:r>
              <w:rPr>
                <w:color w:val="FFFFFF"/>
                <w:sz w:val="20"/>
              </w:rPr>
              <w:t>procedure</w:t>
            </w:r>
          </w:p>
          <w:p>
            <w:pPr>
              <w:pStyle w:val="TableParagraph"/>
              <w:rPr>
                <w:sz w:val="21"/>
              </w:rPr>
            </w:pPr>
          </w:p>
          <w:p>
            <w:pPr>
              <w:pStyle w:val="TableParagraph"/>
              <w:numPr>
                <w:ilvl w:val="0"/>
                <w:numId w:val="8"/>
              </w:numPr>
              <w:tabs>
                <w:tab w:pos="342" w:val="left" w:leader="none"/>
              </w:tabs>
              <w:spacing w:line="263" w:lineRule="exact" w:before="0" w:after="0"/>
              <w:ind w:left="341" w:right="0" w:hanging="239"/>
              <w:jc w:val="left"/>
              <w:rPr>
                <w:sz w:val="20"/>
              </w:rPr>
            </w:pPr>
            <w:r>
              <w:rPr>
                <w:color w:val="FFFFFF"/>
                <w:sz w:val="20"/>
              </w:rPr>
              <w:t>Relevant</w:t>
            </w:r>
            <w:r>
              <w:rPr>
                <w:color w:val="FFFFFF"/>
                <w:spacing w:val="3"/>
                <w:sz w:val="20"/>
              </w:rPr>
              <w:t> </w:t>
            </w:r>
            <w:r>
              <w:rPr>
                <w:color w:val="FFFFFF"/>
                <w:sz w:val="20"/>
              </w:rPr>
              <w:t>organisational</w:t>
            </w:r>
          </w:p>
          <w:p>
            <w:pPr>
              <w:pStyle w:val="TableParagraph"/>
              <w:spacing w:line="263" w:lineRule="exact"/>
              <w:ind w:left="103"/>
              <w:rPr>
                <w:sz w:val="20"/>
              </w:rPr>
            </w:pPr>
            <w:r>
              <w:rPr>
                <w:color w:val="FFFFFF"/>
                <w:sz w:val="20"/>
              </w:rPr>
              <w:t>reports/ inspections</w:t>
            </w:r>
          </w:p>
        </w:tc>
        <w:tc>
          <w:tcPr>
            <w:tcW w:w="5273" w:type="dxa"/>
            <w:tcBorders>
              <w:right w:val="nil"/>
            </w:tcBorders>
            <w:shd w:val="clear" w:color="auto" w:fill="3B957D"/>
          </w:tcPr>
          <w:p>
            <w:pPr>
              <w:pStyle w:val="TableParagraph"/>
              <w:numPr>
                <w:ilvl w:val="0"/>
                <w:numId w:val="9"/>
              </w:numPr>
              <w:tabs>
                <w:tab w:pos="323" w:val="left" w:leader="none"/>
              </w:tabs>
              <w:spacing w:line="240" w:lineRule="auto" w:before="107" w:after="0"/>
              <w:ind w:left="322" w:right="0" w:hanging="221"/>
              <w:jc w:val="left"/>
              <w:rPr>
                <w:sz w:val="20"/>
              </w:rPr>
            </w:pPr>
            <w:r>
              <w:rPr>
                <w:color w:val="FFFFFF"/>
                <w:sz w:val="20"/>
              </w:rPr>
              <w:t>Aligning this with the adults’</w:t>
            </w:r>
            <w:r>
              <w:rPr>
                <w:color w:val="FFFFFF"/>
                <w:spacing w:val="14"/>
                <w:sz w:val="20"/>
              </w:rPr>
              <w:t> </w:t>
            </w:r>
            <w:r>
              <w:rPr>
                <w:color w:val="FFFFFF"/>
                <w:sz w:val="20"/>
              </w:rPr>
              <w:t>procedure</w:t>
            </w:r>
          </w:p>
          <w:p>
            <w:pPr>
              <w:pStyle w:val="TableParagraph"/>
              <w:rPr>
                <w:sz w:val="21"/>
              </w:rPr>
            </w:pPr>
          </w:p>
          <w:p>
            <w:pPr>
              <w:pStyle w:val="TableParagraph"/>
              <w:numPr>
                <w:ilvl w:val="0"/>
                <w:numId w:val="9"/>
              </w:numPr>
              <w:tabs>
                <w:tab w:pos="341" w:val="left" w:leader="none"/>
              </w:tabs>
              <w:spacing w:line="240" w:lineRule="auto" w:before="0" w:after="0"/>
              <w:ind w:left="340" w:right="0" w:hanging="239"/>
              <w:jc w:val="left"/>
              <w:rPr>
                <w:sz w:val="20"/>
              </w:rPr>
            </w:pPr>
            <w:r>
              <w:rPr>
                <w:color w:val="FFFFFF"/>
                <w:sz w:val="20"/>
              </w:rPr>
              <w:t>Sharing and discussing these at the</w:t>
            </w:r>
            <w:r>
              <w:rPr>
                <w:color w:val="FFFFFF"/>
                <w:spacing w:val="21"/>
                <w:sz w:val="20"/>
              </w:rPr>
              <w:t> </w:t>
            </w:r>
            <w:r>
              <w:rPr>
                <w:color w:val="FFFFFF"/>
                <w:sz w:val="20"/>
              </w:rPr>
              <w:t>Board</w:t>
            </w:r>
          </w:p>
        </w:tc>
      </w:tr>
      <w:tr>
        <w:trPr>
          <w:trHeight w:val="2797" w:hRule="atLeast"/>
        </w:trPr>
        <w:tc>
          <w:tcPr>
            <w:tcW w:w="1463" w:type="dxa"/>
            <w:tcBorders>
              <w:left w:val="nil"/>
            </w:tcBorders>
            <w:shd w:val="clear" w:color="auto" w:fill="3B957D"/>
          </w:tcPr>
          <w:p>
            <w:pPr>
              <w:pStyle w:val="TableParagraph"/>
              <w:spacing w:before="107"/>
              <w:ind w:right="101"/>
              <w:jc w:val="right"/>
              <w:rPr>
                <w:rFonts w:ascii="Avenir"/>
                <w:b/>
                <w:sz w:val="20"/>
              </w:rPr>
            </w:pPr>
            <w:r>
              <w:rPr>
                <w:rFonts w:ascii="Avenir"/>
                <w:b/>
                <w:color w:val="FFFFFF"/>
                <w:sz w:val="20"/>
              </w:rPr>
              <w:t>Cwm Taf</w:t>
            </w:r>
          </w:p>
        </w:tc>
        <w:tc>
          <w:tcPr>
            <w:tcW w:w="3243" w:type="dxa"/>
            <w:shd w:val="clear" w:color="auto" w:fill="3B957D"/>
          </w:tcPr>
          <w:p>
            <w:pPr>
              <w:pStyle w:val="TableParagraph"/>
              <w:numPr>
                <w:ilvl w:val="0"/>
                <w:numId w:val="10"/>
              </w:numPr>
              <w:tabs>
                <w:tab w:pos="323" w:val="left" w:leader="none"/>
              </w:tabs>
              <w:spacing w:line="235" w:lineRule="auto" w:before="111" w:after="0"/>
              <w:ind w:left="103" w:right="458" w:firstLine="0"/>
              <w:jc w:val="left"/>
              <w:rPr>
                <w:sz w:val="20"/>
              </w:rPr>
            </w:pPr>
            <w:r>
              <w:rPr>
                <w:color w:val="FFFFFF"/>
                <w:sz w:val="20"/>
              </w:rPr>
              <w:t>Children on the Child Protection Register who </w:t>
            </w:r>
            <w:r>
              <w:rPr>
                <w:color w:val="FFFFFF"/>
                <w:spacing w:val="-5"/>
                <w:sz w:val="20"/>
              </w:rPr>
              <w:t>have </w:t>
            </w:r>
            <w:r>
              <w:rPr>
                <w:color w:val="FFFFFF"/>
                <w:sz w:val="20"/>
              </w:rPr>
              <w:t>been previously</w:t>
            </w:r>
            <w:r>
              <w:rPr>
                <w:color w:val="FFFFFF"/>
                <w:spacing w:val="12"/>
                <w:sz w:val="20"/>
              </w:rPr>
              <w:t> </w:t>
            </w:r>
            <w:r>
              <w:rPr>
                <w:color w:val="FFFFFF"/>
                <w:sz w:val="20"/>
              </w:rPr>
              <w:t>registered</w:t>
            </w:r>
          </w:p>
          <w:p>
            <w:pPr>
              <w:pStyle w:val="TableParagraph"/>
              <w:spacing w:before="6"/>
              <w:rPr>
                <w:sz w:val="21"/>
              </w:rPr>
            </w:pPr>
          </w:p>
          <w:p>
            <w:pPr>
              <w:pStyle w:val="TableParagraph"/>
              <w:numPr>
                <w:ilvl w:val="0"/>
                <w:numId w:val="10"/>
              </w:numPr>
              <w:tabs>
                <w:tab w:pos="342" w:val="left" w:leader="none"/>
              </w:tabs>
              <w:spacing w:line="235" w:lineRule="auto" w:before="0" w:after="0"/>
              <w:ind w:left="103" w:right="186" w:firstLine="0"/>
              <w:jc w:val="left"/>
              <w:rPr>
                <w:sz w:val="20"/>
              </w:rPr>
            </w:pPr>
            <w:r>
              <w:rPr>
                <w:color w:val="FFFFFF"/>
                <w:sz w:val="20"/>
              </w:rPr>
              <w:t>Children on the Child Protection Register who are </w:t>
            </w:r>
            <w:r>
              <w:rPr>
                <w:color w:val="FFFFFF"/>
                <w:spacing w:val="-4"/>
                <w:sz w:val="20"/>
              </w:rPr>
              <w:t>also </w:t>
            </w:r>
            <w:r>
              <w:rPr>
                <w:color w:val="FFFFFF"/>
                <w:sz w:val="20"/>
              </w:rPr>
              <w:t>looked</w:t>
            </w:r>
            <w:r>
              <w:rPr>
                <w:color w:val="FFFFFF"/>
                <w:spacing w:val="1"/>
                <w:sz w:val="20"/>
              </w:rPr>
              <w:t> </w:t>
            </w:r>
            <w:r>
              <w:rPr>
                <w:color w:val="FFFFFF"/>
                <w:sz w:val="20"/>
              </w:rPr>
              <w:t>after</w:t>
            </w:r>
          </w:p>
          <w:p>
            <w:pPr>
              <w:pStyle w:val="TableParagraph"/>
              <w:spacing w:before="2"/>
              <w:rPr>
                <w:sz w:val="21"/>
              </w:rPr>
            </w:pPr>
          </w:p>
          <w:p>
            <w:pPr>
              <w:pStyle w:val="TableParagraph"/>
              <w:numPr>
                <w:ilvl w:val="0"/>
                <w:numId w:val="10"/>
              </w:numPr>
              <w:tabs>
                <w:tab w:pos="316" w:val="left" w:leader="none"/>
              </w:tabs>
              <w:spacing w:line="263" w:lineRule="exact" w:before="0" w:after="0"/>
              <w:ind w:left="315" w:right="0" w:hanging="213"/>
              <w:jc w:val="left"/>
              <w:rPr>
                <w:sz w:val="20"/>
              </w:rPr>
            </w:pPr>
            <w:r>
              <w:rPr>
                <w:color w:val="FFFFFF"/>
                <w:sz w:val="20"/>
              </w:rPr>
              <w:t>Children from</w:t>
            </w:r>
            <w:r>
              <w:rPr>
                <w:color w:val="FFFFFF"/>
                <w:spacing w:val="6"/>
                <w:sz w:val="20"/>
              </w:rPr>
              <w:t> </w:t>
            </w:r>
            <w:r>
              <w:rPr>
                <w:color w:val="FFFFFF"/>
                <w:sz w:val="20"/>
              </w:rPr>
              <w:t>particular</w:t>
            </w:r>
          </w:p>
          <w:p>
            <w:pPr>
              <w:pStyle w:val="TableParagraph"/>
              <w:spacing w:line="263" w:lineRule="exact"/>
              <w:ind w:left="103"/>
              <w:rPr>
                <w:sz w:val="20"/>
              </w:rPr>
            </w:pPr>
            <w:r>
              <w:rPr>
                <w:color w:val="FFFFFF"/>
                <w:sz w:val="20"/>
              </w:rPr>
              <w:t>communities</w:t>
            </w:r>
          </w:p>
        </w:tc>
        <w:tc>
          <w:tcPr>
            <w:tcW w:w="5273" w:type="dxa"/>
            <w:tcBorders>
              <w:right w:val="nil"/>
            </w:tcBorders>
            <w:shd w:val="clear" w:color="auto" w:fill="3B957D"/>
          </w:tcPr>
          <w:p>
            <w:pPr>
              <w:pStyle w:val="TableParagraph"/>
              <w:numPr>
                <w:ilvl w:val="0"/>
                <w:numId w:val="11"/>
              </w:numPr>
              <w:tabs>
                <w:tab w:pos="323" w:val="left" w:leader="none"/>
              </w:tabs>
              <w:spacing w:line="240" w:lineRule="auto" w:before="107" w:after="0"/>
              <w:ind w:left="322" w:right="0" w:hanging="221"/>
              <w:jc w:val="left"/>
              <w:rPr>
                <w:sz w:val="20"/>
              </w:rPr>
            </w:pPr>
            <w:r>
              <w:rPr>
                <w:color w:val="FFFFFF"/>
                <w:sz w:val="20"/>
              </w:rPr>
              <w:t>Monitoring these</w:t>
            </w:r>
            <w:r>
              <w:rPr>
                <w:color w:val="FFFFFF"/>
                <w:spacing w:val="3"/>
                <w:sz w:val="20"/>
              </w:rPr>
              <w:t> </w:t>
            </w:r>
            <w:r>
              <w:rPr>
                <w:color w:val="FFFFFF"/>
                <w:sz w:val="20"/>
              </w:rPr>
              <w:t>children</w:t>
            </w:r>
          </w:p>
          <w:p>
            <w:pPr>
              <w:pStyle w:val="TableParagraph"/>
              <w:spacing w:before="4"/>
              <w:rPr>
                <w:sz w:val="21"/>
              </w:rPr>
            </w:pPr>
          </w:p>
          <w:p>
            <w:pPr>
              <w:pStyle w:val="TableParagraph"/>
              <w:numPr>
                <w:ilvl w:val="0"/>
                <w:numId w:val="11"/>
              </w:numPr>
              <w:tabs>
                <w:tab w:pos="341" w:val="left" w:leader="none"/>
              </w:tabs>
              <w:spacing w:line="235" w:lineRule="auto" w:before="0" w:after="0"/>
              <w:ind w:left="102" w:right="238" w:firstLine="0"/>
              <w:jc w:val="left"/>
              <w:rPr>
                <w:sz w:val="20"/>
              </w:rPr>
            </w:pPr>
            <w:r>
              <w:rPr>
                <w:color w:val="FFFFFF"/>
                <w:sz w:val="20"/>
              </w:rPr>
              <w:t>Acknowledging the “exceptional circumstances” </w:t>
            </w:r>
            <w:r>
              <w:rPr>
                <w:color w:val="FFFFFF"/>
                <w:spacing w:val="-8"/>
                <w:sz w:val="20"/>
              </w:rPr>
              <w:t>so </w:t>
            </w:r>
            <w:r>
              <w:rPr>
                <w:color w:val="FFFFFF"/>
                <w:sz w:val="20"/>
              </w:rPr>
              <w:t>subject to “challenging cases”</w:t>
            </w:r>
            <w:r>
              <w:rPr>
                <w:color w:val="FFFFFF"/>
                <w:spacing w:val="12"/>
                <w:sz w:val="20"/>
              </w:rPr>
              <w:t> </w:t>
            </w:r>
            <w:r>
              <w:rPr>
                <w:color w:val="FFFFFF"/>
                <w:sz w:val="20"/>
              </w:rPr>
              <w:t>process</w:t>
            </w:r>
          </w:p>
          <w:p>
            <w:pPr>
              <w:pStyle w:val="TableParagraph"/>
              <w:spacing w:before="2"/>
              <w:rPr>
                <w:sz w:val="21"/>
              </w:rPr>
            </w:pPr>
          </w:p>
          <w:p>
            <w:pPr>
              <w:pStyle w:val="TableParagraph"/>
              <w:numPr>
                <w:ilvl w:val="0"/>
                <w:numId w:val="11"/>
              </w:numPr>
              <w:tabs>
                <w:tab w:pos="315" w:val="left" w:leader="none"/>
              </w:tabs>
              <w:spacing w:line="263" w:lineRule="exact" w:before="0" w:after="0"/>
              <w:ind w:left="314" w:right="0" w:hanging="213"/>
              <w:jc w:val="left"/>
              <w:rPr>
                <w:sz w:val="20"/>
              </w:rPr>
            </w:pPr>
            <w:r>
              <w:rPr>
                <w:color w:val="FFFFFF"/>
                <w:spacing w:val="-3"/>
                <w:sz w:val="20"/>
              </w:rPr>
              <w:t>Training </w:t>
            </w:r>
            <w:r>
              <w:rPr>
                <w:color w:val="FFFFFF"/>
                <w:sz w:val="20"/>
              </w:rPr>
              <w:t>about Honor Based Violence; and</w:t>
            </w:r>
            <w:r>
              <w:rPr>
                <w:color w:val="FFFFFF"/>
                <w:spacing w:val="55"/>
                <w:sz w:val="20"/>
              </w:rPr>
              <w:t> </w:t>
            </w:r>
            <w:r>
              <w:rPr>
                <w:color w:val="FFFFFF"/>
                <w:sz w:val="20"/>
              </w:rPr>
              <w:t>working</w:t>
            </w:r>
          </w:p>
          <w:p>
            <w:pPr>
              <w:pStyle w:val="TableParagraph"/>
              <w:spacing w:line="263" w:lineRule="exact"/>
              <w:ind w:left="102"/>
              <w:rPr>
                <w:sz w:val="20"/>
              </w:rPr>
            </w:pPr>
            <w:r>
              <w:rPr>
                <w:color w:val="FFFFFF"/>
                <w:sz w:val="20"/>
              </w:rPr>
              <w:t>with Traveller communities – and monitoring</w:t>
            </w:r>
          </w:p>
        </w:tc>
      </w:tr>
      <w:tr>
        <w:trPr>
          <w:trHeight w:val="2017" w:hRule="atLeast"/>
        </w:trPr>
        <w:tc>
          <w:tcPr>
            <w:tcW w:w="1463" w:type="dxa"/>
            <w:tcBorders>
              <w:left w:val="nil"/>
            </w:tcBorders>
            <w:shd w:val="clear" w:color="auto" w:fill="3B957D"/>
          </w:tcPr>
          <w:p>
            <w:pPr>
              <w:pStyle w:val="TableParagraph"/>
              <w:spacing w:before="107"/>
              <w:ind w:right="101"/>
              <w:jc w:val="right"/>
              <w:rPr>
                <w:rFonts w:ascii="Avenir"/>
                <w:b/>
                <w:sz w:val="20"/>
              </w:rPr>
            </w:pPr>
            <w:r>
              <w:rPr>
                <w:rFonts w:ascii="Avenir"/>
                <w:b/>
                <w:color w:val="FFFFFF"/>
                <w:sz w:val="20"/>
              </w:rPr>
              <w:t>Gwent</w:t>
            </w:r>
          </w:p>
        </w:tc>
        <w:tc>
          <w:tcPr>
            <w:tcW w:w="3243" w:type="dxa"/>
            <w:shd w:val="clear" w:color="auto" w:fill="3B957D"/>
          </w:tcPr>
          <w:p>
            <w:pPr>
              <w:pStyle w:val="TableParagraph"/>
              <w:numPr>
                <w:ilvl w:val="0"/>
                <w:numId w:val="12"/>
              </w:numPr>
              <w:tabs>
                <w:tab w:pos="323" w:val="left" w:leader="none"/>
              </w:tabs>
              <w:spacing w:line="235" w:lineRule="auto" w:before="111" w:after="0"/>
              <w:ind w:left="103" w:right="309" w:firstLine="0"/>
              <w:jc w:val="left"/>
              <w:rPr>
                <w:sz w:val="20"/>
              </w:rPr>
            </w:pPr>
            <w:r>
              <w:rPr>
                <w:color w:val="FFFFFF"/>
                <w:sz w:val="20"/>
              </w:rPr>
              <w:t>Research about children </w:t>
            </w:r>
            <w:r>
              <w:rPr>
                <w:color w:val="FFFFFF"/>
                <w:spacing w:val="-6"/>
                <w:sz w:val="20"/>
              </w:rPr>
              <w:t>and </w:t>
            </w:r>
            <w:r>
              <w:rPr>
                <w:color w:val="FFFFFF"/>
                <w:sz w:val="20"/>
              </w:rPr>
              <w:t>young people staying</w:t>
            </w:r>
            <w:r>
              <w:rPr>
                <w:color w:val="FFFFFF"/>
                <w:spacing w:val="15"/>
                <w:sz w:val="20"/>
              </w:rPr>
              <w:t> </w:t>
            </w:r>
            <w:r>
              <w:rPr>
                <w:color w:val="FFFFFF"/>
                <w:sz w:val="20"/>
              </w:rPr>
              <w:t>safe</w:t>
            </w:r>
          </w:p>
          <w:p>
            <w:pPr>
              <w:pStyle w:val="TableParagraph"/>
              <w:spacing w:before="6"/>
              <w:rPr>
                <w:sz w:val="21"/>
              </w:rPr>
            </w:pPr>
          </w:p>
          <w:p>
            <w:pPr>
              <w:pStyle w:val="TableParagraph"/>
              <w:numPr>
                <w:ilvl w:val="0"/>
                <w:numId w:val="12"/>
              </w:numPr>
              <w:tabs>
                <w:tab w:pos="342" w:val="left" w:leader="none"/>
              </w:tabs>
              <w:spacing w:line="235" w:lineRule="auto" w:before="0" w:after="0"/>
              <w:ind w:left="103" w:right="318" w:firstLine="0"/>
              <w:jc w:val="left"/>
              <w:rPr>
                <w:sz w:val="20"/>
              </w:rPr>
            </w:pPr>
            <w:r>
              <w:rPr>
                <w:color w:val="FFFFFF"/>
                <w:sz w:val="20"/>
              </w:rPr>
              <w:t>Working with </w:t>
            </w:r>
            <w:r>
              <w:rPr>
                <w:color w:val="FFFFFF"/>
                <w:spacing w:val="-2"/>
                <w:sz w:val="20"/>
              </w:rPr>
              <w:t>uncooperative </w:t>
            </w:r>
            <w:r>
              <w:rPr>
                <w:color w:val="FFFFFF"/>
                <w:sz w:val="20"/>
              </w:rPr>
              <w:t>families</w:t>
            </w:r>
          </w:p>
          <w:p>
            <w:pPr>
              <w:pStyle w:val="TableParagraph"/>
              <w:spacing w:before="2"/>
              <w:rPr>
                <w:sz w:val="21"/>
              </w:rPr>
            </w:pPr>
          </w:p>
          <w:p>
            <w:pPr>
              <w:pStyle w:val="TableParagraph"/>
              <w:numPr>
                <w:ilvl w:val="0"/>
                <w:numId w:val="12"/>
              </w:numPr>
              <w:tabs>
                <w:tab w:pos="316" w:val="left" w:leader="none"/>
              </w:tabs>
              <w:spacing w:line="240" w:lineRule="auto" w:before="0" w:after="0"/>
              <w:ind w:left="315" w:right="0" w:hanging="213"/>
              <w:jc w:val="left"/>
              <w:rPr>
                <w:sz w:val="20"/>
              </w:rPr>
            </w:pPr>
            <w:r>
              <w:rPr>
                <w:color w:val="FFFFFF"/>
                <w:spacing w:val="-4"/>
                <w:sz w:val="20"/>
              </w:rPr>
              <w:t>Young </w:t>
            </w:r>
            <w:r>
              <w:rPr>
                <w:color w:val="FFFFFF"/>
                <w:spacing w:val="-3"/>
                <w:sz w:val="20"/>
              </w:rPr>
              <w:t>people’s </w:t>
            </w:r>
            <w:r>
              <w:rPr>
                <w:color w:val="FFFFFF"/>
                <w:sz w:val="20"/>
              </w:rPr>
              <w:t>mental</w:t>
            </w:r>
            <w:r>
              <w:rPr>
                <w:color w:val="FFFFFF"/>
                <w:spacing w:val="32"/>
                <w:sz w:val="20"/>
              </w:rPr>
              <w:t> </w:t>
            </w:r>
            <w:r>
              <w:rPr>
                <w:color w:val="FFFFFF"/>
                <w:sz w:val="20"/>
              </w:rPr>
              <w:t>health</w:t>
            </w:r>
          </w:p>
        </w:tc>
        <w:tc>
          <w:tcPr>
            <w:tcW w:w="5273" w:type="dxa"/>
            <w:tcBorders>
              <w:right w:val="nil"/>
            </w:tcBorders>
            <w:shd w:val="clear" w:color="auto" w:fill="3B957D"/>
          </w:tcPr>
          <w:p>
            <w:pPr>
              <w:pStyle w:val="TableParagraph"/>
              <w:numPr>
                <w:ilvl w:val="0"/>
                <w:numId w:val="13"/>
              </w:numPr>
              <w:tabs>
                <w:tab w:pos="323" w:val="left" w:leader="none"/>
              </w:tabs>
              <w:spacing w:line="235" w:lineRule="auto" w:before="111" w:after="0"/>
              <w:ind w:left="102" w:right="744" w:firstLine="0"/>
              <w:jc w:val="left"/>
              <w:rPr>
                <w:sz w:val="20"/>
              </w:rPr>
            </w:pPr>
            <w:r>
              <w:rPr>
                <w:color w:val="FFFFFF"/>
                <w:sz w:val="20"/>
              </w:rPr>
              <w:t>Keeping young people safe online: a strategic priority;</w:t>
            </w:r>
          </w:p>
          <w:p>
            <w:pPr>
              <w:pStyle w:val="TableParagraph"/>
              <w:spacing w:before="2"/>
              <w:rPr>
                <w:sz w:val="21"/>
              </w:rPr>
            </w:pPr>
          </w:p>
          <w:p>
            <w:pPr>
              <w:pStyle w:val="TableParagraph"/>
              <w:numPr>
                <w:ilvl w:val="0"/>
                <w:numId w:val="13"/>
              </w:numPr>
              <w:tabs>
                <w:tab w:pos="341" w:val="left" w:leader="none"/>
              </w:tabs>
              <w:spacing w:line="240" w:lineRule="auto" w:before="0" w:after="0"/>
              <w:ind w:left="340" w:right="0" w:hanging="239"/>
              <w:jc w:val="left"/>
              <w:rPr>
                <w:sz w:val="20"/>
              </w:rPr>
            </w:pPr>
            <w:r>
              <w:rPr>
                <w:color w:val="FFFFFF"/>
                <w:sz w:val="20"/>
              </w:rPr>
              <w:t>Reviewing and strengthening</w:t>
            </w:r>
            <w:r>
              <w:rPr>
                <w:color w:val="FFFFFF"/>
                <w:spacing w:val="9"/>
                <w:sz w:val="20"/>
              </w:rPr>
              <w:t> </w:t>
            </w:r>
            <w:r>
              <w:rPr>
                <w:color w:val="FFFFFF"/>
                <w:sz w:val="20"/>
              </w:rPr>
              <w:t>guidance</w:t>
            </w:r>
          </w:p>
          <w:p>
            <w:pPr>
              <w:pStyle w:val="TableParagraph"/>
              <w:spacing w:before="4"/>
              <w:rPr>
                <w:sz w:val="21"/>
              </w:rPr>
            </w:pPr>
          </w:p>
          <w:p>
            <w:pPr>
              <w:pStyle w:val="TableParagraph"/>
              <w:numPr>
                <w:ilvl w:val="0"/>
                <w:numId w:val="13"/>
              </w:numPr>
              <w:tabs>
                <w:tab w:pos="315" w:val="left" w:leader="none"/>
              </w:tabs>
              <w:spacing w:line="235" w:lineRule="auto" w:before="0" w:after="0"/>
              <w:ind w:left="102" w:right="428" w:firstLine="0"/>
              <w:jc w:val="left"/>
              <w:rPr>
                <w:sz w:val="20"/>
              </w:rPr>
            </w:pPr>
            <w:r>
              <w:rPr>
                <w:color w:val="FFFFFF"/>
                <w:sz w:val="20"/>
              </w:rPr>
              <w:t>Developing a training course with professionals </w:t>
            </w:r>
            <w:r>
              <w:rPr>
                <w:color w:val="FFFFFF"/>
                <w:spacing w:val="-8"/>
                <w:sz w:val="20"/>
              </w:rPr>
              <w:t>in </w:t>
            </w:r>
            <w:r>
              <w:rPr>
                <w:color w:val="FFFFFF"/>
                <w:sz w:val="20"/>
              </w:rPr>
              <w:t>primary mental health</w:t>
            </w:r>
            <w:r>
              <w:rPr>
                <w:color w:val="FFFFFF"/>
                <w:spacing w:val="7"/>
                <w:sz w:val="20"/>
              </w:rPr>
              <w:t> </w:t>
            </w:r>
            <w:r>
              <w:rPr>
                <w:color w:val="FFFFFF"/>
                <w:sz w:val="20"/>
              </w:rPr>
              <w:t>services</w:t>
            </w:r>
          </w:p>
        </w:tc>
      </w:tr>
      <w:tr>
        <w:trPr>
          <w:trHeight w:val="3294" w:hRule="atLeast"/>
        </w:trPr>
        <w:tc>
          <w:tcPr>
            <w:tcW w:w="1463" w:type="dxa"/>
            <w:tcBorders>
              <w:left w:val="nil"/>
            </w:tcBorders>
            <w:shd w:val="clear" w:color="auto" w:fill="3B957D"/>
          </w:tcPr>
          <w:p>
            <w:pPr>
              <w:pStyle w:val="TableParagraph"/>
              <w:spacing w:line="267" w:lineRule="exact" w:before="107"/>
              <w:ind w:left="559"/>
              <w:rPr>
                <w:rFonts w:ascii="Avenir"/>
                <w:b/>
                <w:sz w:val="20"/>
              </w:rPr>
            </w:pPr>
            <w:r>
              <w:rPr>
                <w:rFonts w:ascii="Avenir"/>
                <w:b/>
                <w:color w:val="FFFFFF"/>
                <w:sz w:val="20"/>
              </w:rPr>
              <w:t>Mid</w:t>
            </w:r>
            <w:r>
              <w:rPr>
                <w:rFonts w:ascii="Avenir"/>
                <w:b/>
                <w:color w:val="FFFFFF"/>
                <w:spacing w:val="15"/>
                <w:sz w:val="20"/>
              </w:rPr>
              <w:t> </w:t>
            </w:r>
            <w:r>
              <w:rPr>
                <w:rFonts w:ascii="Avenir"/>
                <w:b/>
                <w:color w:val="FFFFFF"/>
                <w:sz w:val="20"/>
              </w:rPr>
              <w:t>and</w:t>
            </w:r>
          </w:p>
          <w:p>
            <w:pPr>
              <w:pStyle w:val="TableParagraph"/>
              <w:spacing w:line="228" w:lineRule="auto" w:before="3"/>
              <w:ind w:left="779" w:right="94" w:firstLine="75"/>
              <w:rPr>
                <w:rFonts w:ascii="Avenir"/>
                <w:b/>
                <w:sz w:val="20"/>
              </w:rPr>
            </w:pPr>
            <w:r>
              <w:rPr>
                <w:rFonts w:ascii="Avenir"/>
                <w:b/>
                <w:color w:val="FFFFFF"/>
                <w:spacing w:val="-1"/>
                <w:sz w:val="20"/>
              </w:rPr>
              <w:t>West </w:t>
            </w:r>
            <w:r>
              <w:rPr>
                <w:rFonts w:ascii="Avenir"/>
                <w:b/>
                <w:color w:val="FFFFFF"/>
                <w:spacing w:val="-2"/>
                <w:sz w:val="20"/>
              </w:rPr>
              <w:t>Wales</w:t>
            </w:r>
          </w:p>
        </w:tc>
        <w:tc>
          <w:tcPr>
            <w:tcW w:w="3243" w:type="dxa"/>
            <w:shd w:val="clear" w:color="auto" w:fill="3B957D"/>
          </w:tcPr>
          <w:p>
            <w:pPr>
              <w:pStyle w:val="TableParagraph"/>
              <w:spacing w:line="235" w:lineRule="auto" w:before="111"/>
              <w:ind w:left="103"/>
              <w:rPr>
                <w:sz w:val="20"/>
              </w:rPr>
            </w:pPr>
            <w:r>
              <w:rPr>
                <w:color w:val="FFFFFF"/>
                <w:sz w:val="20"/>
              </w:rPr>
              <w:t>a. Supporting effective challenge and professional accountability</w:t>
            </w:r>
          </w:p>
        </w:tc>
        <w:tc>
          <w:tcPr>
            <w:tcW w:w="5273" w:type="dxa"/>
            <w:tcBorders>
              <w:right w:val="nil"/>
            </w:tcBorders>
            <w:shd w:val="clear" w:color="auto" w:fill="3B957D"/>
          </w:tcPr>
          <w:p>
            <w:pPr>
              <w:pStyle w:val="TableParagraph"/>
              <w:numPr>
                <w:ilvl w:val="0"/>
                <w:numId w:val="14"/>
              </w:numPr>
              <w:tabs>
                <w:tab w:pos="323" w:val="left" w:leader="none"/>
              </w:tabs>
              <w:spacing w:line="235" w:lineRule="auto" w:before="111" w:after="0"/>
              <w:ind w:left="102" w:right="153" w:firstLine="0"/>
              <w:jc w:val="left"/>
              <w:rPr>
                <w:sz w:val="20"/>
              </w:rPr>
            </w:pPr>
            <w:r>
              <w:rPr>
                <w:color w:val="FFFFFF"/>
                <w:sz w:val="20"/>
              </w:rPr>
              <w:t>Strengthening clauses and wording of  commissioning contracts with care providers to </w:t>
            </w:r>
            <w:r>
              <w:rPr>
                <w:color w:val="FFFFFF"/>
                <w:spacing w:val="-3"/>
                <w:sz w:val="20"/>
              </w:rPr>
              <w:t>compel </w:t>
            </w:r>
            <w:r>
              <w:rPr>
                <w:color w:val="FFFFFF"/>
                <w:sz w:val="20"/>
              </w:rPr>
              <w:t>providers to cooperate with safeguarding reviews; improving communication and information</w:t>
            </w:r>
            <w:r>
              <w:rPr>
                <w:color w:val="FFFFFF"/>
                <w:spacing w:val="37"/>
                <w:sz w:val="20"/>
              </w:rPr>
              <w:t> </w:t>
            </w:r>
            <w:r>
              <w:rPr>
                <w:color w:val="FFFFFF"/>
                <w:sz w:val="20"/>
              </w:rPr>
              <w:t>sharing;</w:t>
            </w:r>
          </w:p>
          <w:p>
            <w:pPr>
              <w:pStyle w:val="TableParagraph"/>
              <w:spacing w:before="6"/>
              <w:rPr>
                <w:sz w:val="21"/>
              </w:rPr>
            </w:pPr>
          </w:p>
          <w:p>
            <w:pPr>
              <w:pStyle w:val="TableParagraph"/>
              <w:numPr>
                <w:ilvl w:val="0"/>
                <w:numId w:val="14"/>
              </w:numPr>
              <w:tabs>
                <w:tab w:pos="341" w:val="left" w:leader="none"/>
              </w:tabs>
              <w:spacing w:line="235" w:lineRule="auto" w:before="1" w:after="0"/>
              <w:ind w:left="102" w:right="342" w:firstLine="0"/>
              <w:jc w:val="left"/>
              <w:rPr>
                <w:sz w:val="20"/>
              </w:rPr>
            </w:pPr>
            <w:r>
              <w:rPr>
                <w:color w:val="FFFFFF"/>
                <w:sz w:val="20"/>
              </w:rPr>
              <w:t>Using “Signs of Safety” e.g. a couple who would not engage with ante-natal appointments during </w:t>
            </w:r>
            <w:r>
              <w:rPr>
                <w:color w:val="FFFFFF"/>
                <w:spacing w:val="-6"/>
                <w:sz w:val="20"/>
              </w:rPr>
              <w:t>two </w:t>
            </w:r>
            <w:r>
              <w:rPr>
                <w:color w:val="FFFFFF"/>
                <w:sz w:val="20"/>
              </w:rPr>
              <w:t>pregnancies (their first child had been adopted</w:t>
            </w:r>
            <w:r>
              <w:rPr>
                <w:color w:val="FFFFFF"/>
                <w:spacing w:val="53"/>
                <w:sz w:val="20"/>
              </w:rPr>
              <w:t> </w:t>
            </w:r>
            <w:r>
              <w:rPr>
                <w:color w:val="FFFFFF"/>
                <w:sz w:val="20"/>
              </w:rPr>
              <w:t>by</w:t>
            </w:r>
          </w:p>
          <w:p>
            <w:pPr>
              <w:pStyle w:val="TableParagraph"/>
              <w:spacing w:line="235" w:lineRule="auto"/>
              <w:ind w:left="102" w:right="150"/>
              <w:rPr>
                <w:sz w:val="20"/>
              </w:rPr>
            </w:pPr>
            <w:r>
              <w:rPr>
                <w:color w:val="FFFFFF"/>
                <w:sz w:val="20"/>
              </w:rPr>
              <w:t>another family and their second died) were encouraged to work with the social worker and midwife and identify their strengths and difficulties. Now they actively engage and accept that their family needs</w:t>
            </w:r>
            <w:r>
              <w:rPr>
                <w:color w:val="FFFFFF"/>
                <w:spacing w:val="45"/>
                <w:sz w:val="20"/>
              </w:rPr>
              <w:t> </w:t>
            </w:r>
            <w:r>
              <w:rPr>
                <w:color w:val="FFFFFF"/>
                <w:sz w:val="20"/>
              </w:rPr>
              <w:t>support</w:t>
            </w:r>
          </w:p>
        </w:tc>
      </w:tr>
      <w:tr>
        <w:trPr>
          <w:trHeight w:val="2514" w:hRule="atLeast"/>
        </w:trPr>
        <w:tc>
          <w:tcPr>
            <w:tcW w:w="1463" w:type="dxa"/>
            <w:tcBorders>
              <w:left w:val="nil"/>
            </w:tcBorders>
            <w:shd w:val="clear" w:color="auto" w:fill="3B957D"/>
          </w:tcPr>
          <w:p>
            <w:pPr>
              <w:pStyle w:val="TableParagraph"/>
              <w:spacing w:line="228" w:lineRule="auto" w:before="117"/>
              <w:ind w:left="779" w:right="87" w:hanging="4"/>
              <w:rPr>
                <w:rFonts w:ascii="Avenir"/>
                <w:b/>
                <w:sz w:val="20"/>
              </w:rPr>
            </w:pPr>
            <w:r>
              <w:rPr>
                <w:rFonts w:ascii="Avenir"/>
                <w:b/>
                <w:color w:val="FFFFFF"/>
                <w:sz w:val="20"/>
              </w:rPr>
              <w:t>North Wales</w:t>
            </w:r>
          </w:p>
        </w:tc>
        <w:tc>
          <w:tcPr>
            <w:tcW w:w="3243" w:type="dxa"/>
            <w:shd w:val="clear" w:color="auto" w:fill="3B957D"/>
          </w:tcPr>
          <w:p>
            <w:pPr>
              <w:pStyle w:val="TableParagraph"/>
              <w:numPr>
                <w:ilvl w:val="0"/>
                <w:numId w:val="15"/>
              </w:numPr>
              <w:tabs>
                <w:tab w:pos="323" w:val="left" w:leader="none"/>
              </w:tabs>
              <w:spacing w:line="235" w:lineRule="auto" w:before="111" w:after="0"/>
              <w:ind w:left="103" w:right="549" w:firstLine="0"/>
              <w:jc w:val="left"/>
              <w:rPr>
                <w:sz w:val="20"/>
              </w:rPr>
            </w:pPr>
            <w:r>
              <w:rPr>
                <w:color w:val="FFFFFF"/>
                <w:sz w:val="20"/>
              </w:rPr>
              <w:t>Children on the Child Protection Register for </w:t>
            </w:r>
            <w:r>
              <w:rPr>
                <w:color w:val="FFFFFF"/>
                <w:spacing w:val="-5"/>
                <w:sz w:val="20"/>
              </w:rPr>
              <w:t>more </w:t>
            </w:r>
            <w:r>
              <w:rPr>
                <w:color w:val="FFFFFF"/>
                <w:sz w:val="20"/>
              </w:rPr>
              <w:t>than 18</w:t>
            </w:r>
            <w:r>
              <w:rPr>
                <w:color w:val="FFFFFF"/>
                <w:spacing w:val="4"/>
                <w:sz w:val="20"/>
              </w:rPr>
              <w:t> </w:t>
            </w:r>
            <w:r>
              <w:rPr>
                <w:color w:val="FFFFFF"/>
                <w:sz w:val="20"/>
              </w:rPr>
              <w:t>months;</w:t>
            </w:r>
          </w:p>
          <w:p>
            <w:pPr>
              <w:pStyle w:val="TableParagraph"/>
              <w:spacing w:before="6"/>
              <w:rPr>
                <w:sz w:val="21"/>
              </w:rPr>
            </w:pPr>
          </w:p>
          <w:p>
            <w:pPr>
              <w:pStyle w:val="TableParagraph"/>
              <w:numPr>
                <w:ilvl w:val="0"/>
                <w:numId w:val="15"/>
              </w:numPr>
              <w:tabs>
                <w:tab w:pos="339" w:val="left" w:leader="none"/>
              </w:tabs>
              <w:spacing w:line="235" w:lineRule="auto" w:before="0" w:after="0"/>
              <w:ind w:left="103" w:right="101" w:firstLine="0"/>
              <w:jc w:val="left"/>
              <w:rPr>
                <w:sz w:val="20"/>
              </w:rPr>
            </w:pPr>
            <w:r>
              <w:rPr>
                <w:color w:val="FFFFFF"/>
                <w:sz w:val="20"/>
              </w:rPr>
              <w:t>parents who have experienced poor parenting</w:t>
            </w:r>
            <w:r>
              <w:rPr>
                <w:color w:val="FFFFFF"/>
                <w:spacing w:val="8"/>
                <w:sz w:val="20"/>
              </w:rPr>
              <w:t> </w:t>
            </w:r>
            <w:r>
              <w:rPr>
                <w:color w:val="FFFFFF"/>
                <w:sz w:val="20"/>
              </w:rPr>
              <w:t>themselves</w:t>
            </w:r>
          </w:p>
        </w:tc>
        <w:tc>
          <w:tcPr>
            <w:tcW w:w="5273" w:type="dxa"/>
            <w:tcBorders>
              <w:right w:val="nil"/>
            </w:tcBorders>
            <w:shd w:val="clear" w:color="auto" w:fill="3B957D"/>
          </w:tcPr>
          <w:p>
            <w:pPr>
              <w:pStyle w:val="TableParagraph"/>
              <w:numPr>
                <w:ilvl w:val="0"/>
                <w:numId w:val="16"/>
              </w:numPr>
              <w:tabs>
                <w:tab w:pos="323" w:val="left" w:leader="none"/>
              </w:tabs>
              <w:spacing w:line="235" w:lineRule="auto" w:before="111" w:after="0"/>
              <w:ind w:left="102" w:right="156" w:firstLine="0"/>
              <w:jc w:val="left"/>
              <w:rPr>
                <w:sz w:val="20"/>
              </w:rPr>
            </w:pPr>
            <w:r>
              <w:rPr>
                <w:color w:val="FFFFFF"/>
                <w:sz w:val="20"/>
              </w:rPr>
              <w:t>Having a clear rationale; professionals reminded </w:t>
            </w:r>
            <w:r>
              <w:rPr>
                <w:color w:val="FFFFFF"/>
                <w:spacing w:val="-4"/>
                <w:sz w:val="20"/>
              </w:rPr>
              <w:t>that </w:t>
            </w:r>
            <w:r>
              <w:rPr>
                <w:color w:val="FFFFFF"/>
                <w:sz w:val="20"/>
              </w:rPr>
              <w:t>their judgement contributes to risk assessments and decision-making; reflected in child protection</w:t>
            </w:r>
            <w:r>
              <w:rPr>
                <w:color w:val="FFFFFF"/>
                <w:spacing w:val="3"/>
                <w:sz w:val="20"/>
              </w:rPr>
              <w:t> </w:t>
            </w:r>
            <w:r>
              <w:rPr>
                <w:color w:val="FFFFFF"/>
                <w:sz w:val="20"/>
              </w:rPr>
              <w:t>training</w:t>
            </w:r>
          </w:p>
          <w:p>
            <w:pPr>
              <w:pStyle w:val="TableParagraph"/>
              <w:spacing w:before="6"/>
              <w:rPr>
                <w:sz w:val="21"/>
              </w:rPr>
            </w:pPr>
          </w:p>
          <w:p>
            <w:pPr>
              <w:pStyle w:val="TableParagraph"/>
              <w:numPr>
                <w:ilvl w:val="0"/>
                <w:numId w:val="16"/>
              </w:numPr>
              <w:tabs>
                <w:tab w:pos="341" w:val="left" w:leader="none"/>
              </w:tabs>
              <w:spacing w:line="235" w:lineRule="auto" w:before="0" w:after="0"/>
              <w:ind w:left="102" w:right="112" w:firstLine="0"/>
              <w:jc w:val="left"/>
              <w:rPr>
                <w:sz w:val="20"/>
              </w:rPr>
            </w:pPr>
            <w:r>
              <w:rPr>
                <w:color w:val="FFFFFF"/>
                <w:sz w:val="20"/>
              </w:rPr>
              <w:t>A positive case study involving the “Edge of Care” team – providing 15-20 hours of weekly support pre  and post birth - enabled a baby on the Child </w:t>
            </w:r>
            <w:r>
              <w:rPr>
                <w:color w:val="FFFFFF"/>
                <w:spacing w:val="-3"/>
                <w:sz w:val="20"/>
              </w:rPr>
              <w:t>Protection </w:t>
            </w:r>
            <w:r>
              <w:rPr>
                <w:color w:val="FFFFFF"/>
                <w:sz w:val="20"/>
              </w:rPr>
              <w:t>Register to remain with her parents. The family have agreed to continue to accept</w:t>
            </w:r>
            <w:r>
              <w:rPr>
                <w:color w:val="FFFFFF"/>
                <w:spacing w:val="13"/>
                <w:sz w:val="20"/>
              </w:rPr>
              <w:t> </w:t>
            </w:r>
            <w:r>
              <w:rPr>
                <w:color w:val="FFFFFF"/>
                <w:sz w:val="20"/>
              </w:rPr>
              <w:t>support</w:t>
            </w:r>
          </w:p>
        </w:tc>
      </w:tr>
      <w:tr>
        <w:trPr>
          <w:trHeight w:val="1720" w:hRule="atLeast"/>
        </w:trPr>
        <w:tc>
          <w:tcPr>
            <w:tcW w:w="1463" w:type="dxa"/>
            <w:tcBorders>
              <w:left w:val="nil"/>
              <w:bottom w:val="nil"/>
            </w:tcBorders>
            <w:shd w:val="clear" w:color="auto" w:fill="3B957D"/>
          </w:tcPr>
          <w:p>
            <w:pPr>
              <w:pStyle w:val="TableParagraph"/>
              <w:spacing w:line="267" w:lineRule="exact" w:before="107"/>
              <w:ind w:left="533"/>
              <w:rPr>
                <w:rFonts w:ascii="Avenir"/>
                <w:b/>
                <w:sz w:val="20"/>
              </w:rPr>
            </w:pPr>
            <w:r>
              <w:rPr>
                <w:rFonts w:ascii="Avenir"/>
                <w:b/>
                <w:color w:val="FFFFFF"/>
                <w:sz w:val="20"/>
              </w:rPr>
              <w:t>Western</w:t>
            </w:r>
          </w:p>
          <w:p>
            <w:pPr>
              <w:pStyle w:val="TableParagraph"/>
              <w:spacing w:line="267" w:lineRule="exact"/>
              <w:ind w:right="101"/>
              <w:jc w:val="right"/>
              <w:rPr>
                <w:rFonts w:ascii="Avenir"/>
                <w:b/>
                <w:sz w:val="20"/>
              </w:rPr>
            </w:pPr>
            <w:r>
              <w:rPr>
                <w:rFonts w:ascii="Avenir"/>
                <w:b/>
                <w:color w:val="FFFFFF"/>
                <w:sz w:val="20"/>
              </w:rPr>
              <w:t>Bay</w:t>
            </w:r>
          </w:p>
        </w:tc>
        <w:tc>
          <w:tcPr>
            <w:tcW w:w="3243" w:type="dxa"/>
            <w:tcBorders>
              <w:bottom w:val="nil"/>
            </w:tcBorders>
            <w:shd w:val="clear" w:color="auto" w:fill="3B957D"/>
          </w:tcPr>
          <w:p>
            <w:pPr>
              <w:pStyle w:val="TableParagraph"/>
              <w:spacing w:line="235" w:lineRule="auto" w:before="111"/>
              <w:ind w:left="103" w:right="144"/>
              <w:jc w:val="both"/>
              <w:rPr>
                <w:sz w:val="20"/>
              </w:rPr>
            </w:pPr>
            <w:r>
              <w:rPr>
                <w:color w:val="FFFFFF"/>
                <w:sz w:val="20"/>
              </w:rPr>
              <w:t>Families responsible for the non- accidental injury of an infant and the sexual abuse of a child</w:t>
            </w:r>
          </w:p>
        </w:tc>
        <w:tc>
          <w:tcPr>
            <w:tcW w:w="5273" w:type="dxa"/>
            <w:tcBorders>
              <w:bottom w:val="nil"/>
              <w:right w:val="nil"/>
            </w:tcBorders>
            <w:shd w:val="clear" w:color="auto" w:fill="3B957D"/>
          </w:tcPr>
          <w:p>
            <w:pPr>
              <w:pStyle w:val="TableParagraph"/>
              <w:spacing w:line="235" w:lineRule="auto" w:before="111"/>
              <w:ind w:left="102" w:right="366"/>
              <w:rPr>
                <w:sz w:val="20"/>
              </w:rPr>
            </w:pPr>
            <w:r>
              <w:rPr>
                <w:color w:val="FFFFFF"/>
                <w:sz w:val="20"/>
              </w:rPr>
              <w:t>Ensuring that families have information about each stage of the child protection process; and reminders to professionals to be watchful and attentive to a child’s history and family dynamics; and the bruising of “frequent attenders” should be regarded with suspicion</w:t>
            </w:r>
          </w:p>
        </w:tc>
      </w:tr>
    </w:tbl>
    <w:p>
      <w:pPr>
        <w:spacing w:after="0" w:line="235" w:lineRule="auto"/>
        <w:rPr>
          <w:sz w:val="20"/>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13152" filled="true" fillcolor="#3b957d" stroked="false">
            <v:fill type="solid"/>
            <w10:wrap type="none"/>
          </v:rect>
        </w:pict>
      </w:r>
      <w:r>
        <w:rPr/>
        <w:pict>
          <v:shape style="position:absolute;margin-left:7.0315pt;margin-top:182.052505pt;width:15.7pt;height:477.8pt;mso-position-horizontal-relative:page;mso-position-vertical-relative:page;z-index:15864320"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7398" w:val="left" w:leader="none"/>
        </w:tabs>
        <w:spacing w:before="100"/>
        <w:ind w:left="927" w:right="0" w:firstLine="0"/>
        <w:jc w:val="left"/>
        <w:rPr>
          <w:sz w:val="16"/>
        </w:rPr>
      </w:pPr>
      <w:r>
        <w:rPr>
          <w:color w:val="231F20"/>
          <w:sz w:val="16"/>
        </w:rPr>
        <w:t>38</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after="1"/>
        <w:rPr>
          <w:sz w:val="10"/>
        </w:rPr>
      </w:pPr>
    </w:p>
    <w:tbl>
      <w:tblPr>
        <w:tblW w:w="0" w:type="auto"/>
        <w:jc w:val="left"/>
        <w:tblInd w:w="9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53"/>
        <w:gridCol w:w="3243"/>
        <w:gridCol w:w="5263"/>
      </w:tblGrid>
      <w:tr>
        <w:trPr>
          <w:trHeight w:val="420" w:hRule="atLeast"/>
        </w:trPr>
        <w:tc>
          <w:tcPr>
            <w:tcW w:w="1453" w:type="dxa"/>
            <w:tcBorders>
              <w:top w:val="nil"/>
              <w:left w:val="nil"/>
            </w:tcBorders>
            <w:shd w:val="clear" w:color="auto" w:fill="3B957D"/>
          </w:tcPr>
          <w:p>
            <w:pPr>
              <w:pStyle w:val="TableParagraph"/>
              <w:rPr>
                <w:rFonts w:ascii="Times New Roman"/>
                <w:sz w:val="18"/>
              </w:rPr>
            </w:pPr>
          </w:p>
        </w:tc>
        <w:tc>
          <w:tcPr>
            <w:tcW w:w="3243" w:type="dxa"/>
            <w:tcBorders>
              <w:top w:val="nil"/>
            </w:tcBorders>
            <w:shd w:val="clear" w:color="auto" w:fill="3B957D"/>
          </w:tcPr>
          <w:p>
            <w:pPr>
              <w:pStyle w:val="TableParagraph"/>
              <w:spacing w:before="117"/>
              <w:ind w:left="103"/>
              <w:rPr>
                <w:rFonts w:ascii="Avenir"/>
                <w:b/>
                <w:sz w:val="20"/>
              </w:rPr>
            </w:pPr>
            <w:r>
              <w:rPr>
                <w:rFonts w:ascii="Avenir"/>
                <w:b/>
                <w:color w:val="FFFFFF"/>
                <w:sz w:val="20"/>
              </w:rPr>
              <w:t>Themes concerning adults</w:t>
            </w:r>
          </w:p>
        </w:tc>
        <w:tc>
          <w:tcPr>
            <w:tcW w:w="5263" w:type="dxa"/>
            <w:tcBorders>
              <w:top w:val="nil"/>
              <w:right w:val="nil"/>
            </w:tcBorders>
            <w:shd w:val="clear" w:color="auto" w:fill="3B957D"/>
          </w:tcPr>
          <w:p>
            <w:pPr>
              <w:pStyle w:val="TableParagraph"/>
              <w:spacing w:before="117"/>
              <w:ind w:left="102"/>
              <w:rPr>
                <w:rFonts w:ascii="Avenir"/>
                <w:b/>
                <w:sz w:val="20"/>
              </w:rPr>
            </w:pPr>
            <w:r>
              <w:rPr>
                <w:rFonts w:ascii="Avenir"/>
                <w:b/>
                <w:color w:val="FFFFFF"/>
                <w:sz w:val="20"/>
              </w:rPr>
              <w:t>Changes put into practice</w:t>
            </w:r>
          </w:p>
        </w:tc>
      </w:tr>
      <w:tr>
        <w:trPr>
          <w:trHeight w:val="1214" w:hRule="atLeast"/>
        </w:trPr>
        <w:tc>
          <w:tcPr>
            <w:tcW w:w="1453" w:type="dxa"/>
            <w:tcBorders>
              <w:left w:val="nil"/>
            </w:tcBorders>
            <w:shd w:val="clear" w:color="auto" w:fill="3B957D"/>
          </w:tcPr>
          <w:p>
            <w:pPr>
              <w:pStyle w:val="TableParagraph"/>
              <w:spacing w:line="235" w:lineRule="auto" w:before="111"/>
              <w:ind w:left="113" w:right="317"/>
              <w:rPr>
                <w:sz w:val="20"/>
              </w:rPr>
            </w:pPr>
            <w:r>
              <w:rPr>
                <w:color w:val="FFFFFF"/>
                <w:sz w:val="20"/>
              </w:rPr>
              <w:t>Cardiff and Vale</w:t>
            </w:r>
          </w:p>
        </w:tc>
        <w:tc>
          <w:tcPr>
            <w:tcW w:w="3243" w:type="dxa"/>
            <w:shd w:val="clear" w:color="auto" w:fill="3B957D"/>
          </w:tcPr>
          <w:p>
            <w:pPr>
              <w:pStyle w:val="TableParagraph"/>
              <w:numPr>
                <w:ilvl w:val="0"/>
                <w:numId w:val="17"/>
              </w:numPr>
              <w:tabs>
                <w:tab w:pos="323" w:val="left" w:leader="none"/>
              </w:tabs>
              <w:spacing w:line="240" w:lineRule="auto" w:before="107" w:after="0"/>
              <w:ind w:left="322" w:right="0" w:hanging="220"/>
              <w:jc w:val="left"/>
              <w:rPr>
                <w:sz w:val="20"/>
              </w:rPr>
            </w:pPr>
            <w:r>
              <w:rPr>
                <w:color w:val="FFFFFF"/>
                <w:sz w:val="20"/>
              </w:rPr>
              <w:t>Complaints</w:t>
            </w:r>
            <w:r>
              <w:rPr>
                <w:color w:val="FFFFFF"/>
                <w:spacing w:val="2"/>
                <w:sz w:val="20"/>
              </w:rPr>
              <w:t> </w:t>
            </w:r>
            <w:r>
              <w:rPr>
                <w:color w:val="FFFFFF"/>
                <w:sz w:val="20"/>
              </w:rPr>
              <w:t>procedure</w:t>
            </w:r>
          </w:p>
          <w:p>
            <w:pPr>
              <w:pStyle w:val="TableParagraph"/>
              <w:rPr>
                <w:sz w:val="21"/>
              </w:rPr>
            </w:pPr>
          </w:p>
          <w:p>
            <w:pPr>
              <w:pStyle w:val="TableParagraph"/>
              <w:numPr>
                <w:ilvl w:val="0"/>
                <w:numId w:val="17"/>
              </w:numPr>
              <w:tabs>
                <w:tab w:pos="342" w:val="left" w:leader="none"/>
              </w:tabs>
              <w:spacing w:line="263" w:lineRule="exact" w:before="0" w:after="0"/>
              <w:ind w:left="341" w:right="0" w:hanging="239"/>
              <w:jc w:val="left"/>
              <w:rPr>
                <w:sz w:val="20"/>
              </w:rPr>
            </w:pPr>
            <w:r>
              <w:rPr>
                <w:color w:val="FFFFFF"/>
                <w:sz w:val="20"/>
              </w:rPr>
              <w:t>Relevant</w:t>
            </w:r>
            <w:r>
              <w:rPr>
                <w:color w:val="FFFFFF"/>
                <w:spacing w:val="3"/>
                <w:sz w:val="20"/>
              </w:rPr>
              <w:t> </w:t>
            </w:r>
            <w:r>
              <w:rPr>
                <w:color w:val="FFFFFF"/>
                <w:sz w:val="20"/>
              </w:rPr>
              <w:t>organisational</w:t>
            </w:r>
          </w:p>
          <w:p>
            <w:pPr>
              <w:pStyle w:val="TableParagraph"/>
              <w:spacing w:line="263" w:lineRule="exact"/>
              <w:ind w:left="103"/>
              <w:rPr>
                <w:sz w:val="20"/>
              </w:rPr>
            </w:pPr>
            <w:r>
              <w:rPr>
                <w:color w:val="FFFFFF"/>
                <w:sz w:val="20"/>
              </w:rPr>
              <w:t>reports/ inspections</w:t>
            </w:r>
          </w:p>
        </w:tc>
        <w:tc>
          <w:tcPr>
            <w:tcW w:w="5263" w:type="dxa"/>
            <w:tcBorders>
              <w:right w:val="nil"/>
            </w:tcBorders>
            <w:shd w:val="clear" w:color="auto" w:fill="3B957D"/>
          </w:tcPr>
          <w:p>
            <w:pPr>
              <w:pStyle w:val="TableParagraph"/>
              <w:numPr>
                <w:ilvl w:val="0"/>
                <w:numId w:val="18"/>
              </w:numPr>
              <w:tabs>
                <w:tab w:pos="323" w:val="left" w:leader="none"/>
              </w:tabs>
              <w:spacing w:line="240" w:lineRule="auto" w:before="107" w:after="0"/>
              <w:ind w:left="322" w:right="0" w:hanging="221"/>
              <w:jc w:val="left"/>
              <w:rPr>
                <w:sz w:val="20"/>
              </w:rPr>
            </w:pPr>
            <w:r>
              <w:rPr>
                <w:color w:val="FFFFFF"/>
                <w:sz w:val="20"/>
              </w:rPr>
              <w:t>Aligning this with the</w:t>
            </w:r>
            <w:r>
              <w:rPr>
                <w:color w:val="FFFFFF"/>
                <w:spacing w:val="9"/>
                <w:sz w:val="20"/>
              </w:rPr>
              <w:t> </w:t>
            </w:r>
            <w:r>
              <w:rPr>
                <w:color w:val="FFFFFF"/>
                <w:spacing w:val="-3"/>
                <w:sz w:val="20"/>
              </w:rPr>
              <w:t>children’s</w:t>
            </w:r>
          </w:p>
          <w:p>
            <w:pPr>
              <w:pStyle w:val="TableParagraph"/>
              <w:rPr>
                <w:sz w:val="21"/>
              </w:rPr>
            </w:pPr>
          </w:p>
          <w:p>
            <w:pPr>
              <w:pStyle w:val="TableParagraph"/>
              <w:numPr>
                <w:ilvl w:val="0"/>
                <w:numId w:val="18"/>
              </w:numPr>
              <w:tabs>
                <w:tab w:pos="341" w:val="left" w:leader="none"/>
              </w:tabs>
              <w:spacing w:line="240" w:lineRule="auto" w:before="0" w:after="0"/>
              <w:ind w:left="340" w:right="0" w:hanging="239"/>
              <w:jc w:val="left"/>
              <w:rPr>
                <w:sz w:val="20"/>
              </w:rPr>
            </w:pPr>
            <w:r>
              <w:rPr>
                <w:color w:val="FFFFFF"/>
                <w:sz w:val="20"/>
              </w:rPr>
              <w:t>Sharing and discussing these at the</w:t>
            </w:r>
            <w:r>
              <w:rPr>
                <w:color w:val="FFFFFF"/>
                <w:spacing w:val="21"/>
                <w:sz w:val="20"/>
              </w:rPr>
              <w:t> </w:t>
            </w:r>
            <w:r>
              <w:rPr>
                <w:color w:val="FFFFFF"/>
                <w:sz w:val="20"/>
              </w:rPr>
              <w:t>Board</w:t>
            </w:r>
          </w:p>
        </w:tc>
      </w:tr>
      <w:tr>
        <w:trPr>
          <w:trHeight w:val="1734" w:hRule="atLeast"/>
        </w:trPr>
        <w:tc>
          <w:tcPr>
            <w:tcW w:w="1453" w:type="dxa"/>
            <w:tcBorders>
              <w:left w:val="nil"/>
            </w:tcBorders>
            <w:shd w:val="clear" w:color="auto" w:fill="3B957D"/>
          </w:tcPr>
          <w:p>
            <w:pPr>
              <w:pStyle w:val="TableParagraph"/>
              <w:spacing w:before="107"/>
              <w:ind w:left="113"/>
              <w:rPr>
                <w:sz w:val="20"/>
              </w:rPr>
            </w:pPr>
            <w:r>
              <w:rPr>
                <w:color w:val="FFFFFF"/>
                <w:sz w:val="20"/>
              </w:rPr>
              <w:t>Cwm Taf</w:t>
            </w:r>
          </w:p>
        </w:tc>
        <w:tc>
          <w:tcPr>
            <w:tcW w:w="3243" w:type="dxa"/>
            <w:shd w:val="clear" w:color="auto" w:fill="3B957D"/>
          </w:tcPr>
          <w:p>
            <w:pPr>
              <w:pStyle w:val="TableParagraph"/>
              <w:numPr>
                <w:ilvl w:val="0"/>
                <w:numId w:val="19"/>
              </w:numPr>
              <w:tabs>
                <w:tab w:pos="323" w:val="left" w:leader="none"/>
              </w:tabs>
              <w:spacing w:line="235" w:lineRule="auto" w:before="111" w:after="0"/>
              <w:ind w:left="103" w:right="208" w:firstLine="0"/>
              <w:jc w:val="left"/>
              <w:rPr>
                <w:sz w:val="20"/>
              </w:rPr>
            </w:pPr>
            <w:r>
              <w:rPr>
                <w:color w:val="FFFFFF"/>
                <w:sz w:val="20"/>
              </w:rPr>
              <w:t>Delays in the adult </w:t>
            </w:r>
            <w:r>
              <w:rPr>
                <w:color w:val="FFFFFF"/>
                <w:spacing w:val="-3"/>
                <w:sz w:val="20"/>
              </w:rPr>
              <w:t>protection </w:t>
            </w:r>
            <w:r>
              <w:rPr>
                <w:color w:val="FFFFFF"/>
                <w:sz w:val="20"/>
              </w:rPr>
              <w:t>process</w:t>
            </w:r>
          </w:p>
          <w:p>
            <w:pPr>
              <w:pStyle w:val="TableParagraph"/>
              <w:spacing w:before="6"/>
              <w:rPr>
                <w:sz w:val="21"/>
              </w:rPr>
            </w:pPr>
          </w:p>
          <w:p>
            <w:pPr>
              <w:pStyle w:val="TableParagraph"/>
              <w:numPr>
                <w:ilvl w:val="0"/>
                <w:numId w:val="19"/>
              </w:numPr>
              <w:tabs>
                <w:tab w:pos="342" w:val="left" w:leader="none"/>
              </w:tabs>
              <w:spacing w:line="235" w:lineRule="auto" w:before="0" w:after="0"/>
              <w:ind w:left="103" w:right="514" w:firstLine="0"/>
              <w:jc w:val="both"/>
              <w:rPr>
                <w:sz w:val="20"/>
              </w:rPr>
            </w:pPr>
            <w:r>
              <w:rPr>
                <w:color w:val="FFFFFF"/>
                <w:sz w:val="20"/>
              </w:rPr>
              <w:t>Feedback from the police concerning ongoing criminal investigations</w:t>
            </w:r>
          </w:p>
        </w:tc>
        <w:tc>
          <w:tcPr>
            <w:tcW w:w="5263" w:type="dxa"/>
            <w:tcBorders>
              <w:right w:val="nil"/>
            </w:tcBorders>
            <w:shd w:val="clear" w:color="auto" w:fill="3B957D"/>
          </w:tcPr>
          <w:p>
            <w:pPr>
              <w:pStyle w:val="TableParagraph"/>
              <w:numPr>
                <w:ilvl w:val="0"/>
                <w:numId w:val="20"/>
              </w:numPr>
              <w:tabs>
                <w:tab w:pos="323" w:val="left" w:leader="none"/>
              </w:tabs>
              <w:spacing w:line="235" w:lineRule="auto" w:before="111" w:after="0"/>
              <w:ind w:left="102" w:right="576" w:firstLine="0"/>
              <w:jc w:val="left"/>
              <w:rPr>
                <w:sz w:val="20"/>
              </w:rPr>
            </w:pPr>
            <w:r>
              <w:rPr>
                <w:color w:val="FFFFFF"/>
                <w:sz w:val="20"/>
              </w:rPr>
              <w:t>audits evidencing “improvements;” and </w:t>
            </w:r>
            <w:r>
              <w:rPr>
                <w:color w:val="FFFFFF"/>
                <w:spacing w:val="-3"/>
                <w:sz w:val="20"/>
              </w:rPr>
              <w:t>“health </w:t>
            </w:r>
            <w:r>
              <w:rPr>
                <w:color w:val="FFFFFF"/>
                <w:sz w:val="20"/>
              </w:rPr>
              <w:t>have evidenced that relevant documentation is consistently</w:t>
            </w:r>
            <w:r>
              <w:rPr>
                <w:color w:val="FFFFFF"/>
                <w:spacing w:val="1"/>
                <w:sz w:val="20"/>
              </w:rPr>
              <w:t> </w:t>
            </w:r>
            <w:r>
              <w:rPr>
                <w:color w:val="FFFFFF"/>
                <w:sz w:val="20"/>
              </w:rPr>
              <w:t>completed”</w:t>
            </w:r>
          </w:p>
          <w:p>
            <w:pPr>
              <w:pStyle w:val="TableParagraph"/>
              <w:spacing w:before="2"/>
              <w:rPr>
                <w:sz w:val="21"/>
              </w:rPr>
            </w:pPr>
          </w:p>
          <w:p>
            <w:pPr>
              <w:pStyle w:val="TableParagraph"/>
              <w:numPr>
                <w:ilvl w:val="0"/>
                <w:numId w:val="20"/>
              </w:numPr>
              <w:tabs>
                <w:tab w:pos="341" w:val="left" w:leader="none"/>
              </w:tabs>
              <w:spacing w:line="240" w:lineRule="auto" w:before="0" w:after="0"/>
              <w:ind w:left="340" w:right="0" w:hanging="239"/>
              <w:jc w:val="left"/>
              <w:rPr>
                <w:sz w:val="20"/>
              </w:rPr>
            </w:pPr>
            <w:r>
              <w:rPr>
                <w:color w:val="FFFFFF"/>
                <w:sz w:val="20"/>
              </w:rPr>
              <w:t>“…there has been an</w:t>
            </w:r>
            <w:r>
              <w:rPr>
                <w:color w:val="FFFFFF"/>
                <w:spacing w:val="10"/>
                <w:sz w:val="20"/>
              </w:rPr>
              <w:t> </w:t>
            </w:r>
            <w:r>
              <w:rPr>
                <w:color w:val="FFFFFF"/>
                <w:sz w:val="20"/>
              </w:rPr>
              <w:t>improvement”</w:t>
            </w:r>
          </w:p>
        </w:tc>
      </w:tr>
      <w:tr>
        <w:trPr>
          <w:trHeight w:val="1214" w:hRule="atLeast"/>
        </w:trPr>
        <w:tc>
          <w:tcPr>
            <w:tcW w:w="1453" w:type="dxa"/>
            <w:tcBorders>
              <w:left w:val="nil"/>
            </w:tcBorders>
            <w:shd w:val="clear" w:color="auto" w:fill="3B957D"/>
          </w:tcPr>
          <w:p>
            <w:pPr>
              <w:pStyle w:val="TableParagraph"/>
              <w:spacing w:before="107"/>
              <w:ind w:left="113"/>
              <w:rPr>
                <w:sz w:val="20"/>
              </w:rPr>
            </w:pPr>
            <w:r>
              <w:rPr>
                <w:color w:val="FFFFFF"/>
                <w:sz w:val="20"/>
              </w:rPr>
              <w:t>Gwent</w:t>
            </w:r>
          </w:p>
        </w:tc>
        <w:tc>
          <w:tcPr>
            <w:tcW w:w="3243" w:type="dxa"/>
            <w:shd w:val="clear" w:color="auto" w:fill="3B957D"/>
          </w:tcPr>
          <w:p>
            <w:pPr>
              <w:pStyle w:val="TableParagraph"/>
              <w:numPr>
                <w:ilvl w:val="0"/>
                <w:numId w:val="21"/>
              </w:numPr>
              <w:tabs>
                <w:tab w:pos="323" w:val="left" w:leader="none"/>
              </w:tabs>
              <w:spacing w:line="240" w:lineRule="auto" w:before="107" w:after="0"/>
              <w:ind w:left="322" w:right="0" w:hanging="220"/>
              <w:jc w:val="left"/>
              <w:rPr>
                <w:sz w:val="12"/>
              </w:rPr>
            </w:pPr>
            <w:r>
              <w:rPr>
                <w:color w:val="FFFFFF"/>
                <w:sz w:val="20"/>
              </w:rPr>
              <w:t>“In search of</w:t>
            </w:r>
            <w:r>
              <w:rPr>
                <w:color w:val="FFFFFF"/>
                <w:spacing w:val="18"/>
                <w:sz w:val="20"/>
              </w:rPr>
              <w:t> </w:t>
            </w:r>
            <w:r>
              <w:rPr>
                <w:color w:val="FFFFFF"/>
                <w:sz w:val="20"/>
              </w:rPr>
              <w:t>accountability”</w:t>
            </w:r>
            <w:r>
              <w:rPr>
                <w:color w:val="FFFFFF"/>
                <w:position w:val="7"/>
                <w:sz w:val="12"/>
              </w:rPr>
              <w:t>*</w:t>
            </w:r>
          </w:p>
          <w:p>
            <w:pPr>
              <w:pStyle w:val="TableParagraph"/>
              <w:rPr>
                <w:sz w:val="21"/>
              </w:rPr>
            </w:pPr>
          </w:p>
          <w:p>
            <w:pPr>
              <w:pStyle w:val="TableParagraph"/>
              <w:numPr>
                <w:ilvl w:val="0"/>
                <w:numId w:val="21"/>
              </w:numPr>
              <w:tabs>
                <w:tab w:pos="342" w:val="left" w:leader="none"/>
              </w:tabs>
              <w:spacing w:line="240" w:lineRule="auto" w:before="0" w:after="0"/>
              <w:ind w:left="341" w:right="0" w:hanging="239"/>
              <w:jc w:val="left"/>
              <w:rPr>
                <w:sz w:val="20"/>
              </w:rPr>
            </w:pPr>
            <w:r>
              <w:rPr>
                <w:color w:val="FFFFFF"/>
                <w:sz w:val="20"/>
              </w:rPr>
              <w:t>Falls in older “at risk”</w:t>
            </w:r>
            <w:r>
              <w:rPr>
                <w:color w:val="FFFFFF"/>
                <w:spacing w:val="31"/>
                <w:sz w:val="20"/>
              </w:rPr>
              <w:t> </w:t>
            </w:r>
            <w:r>
              <w:rPr>
                <w:color w:val="FFFFFF"/>
                <w:sz w:val="20"/>
              </w:rPr>
              <w:t>people</w:t>
            </w:r>
          </w:p>
        </w:tc>
        <w:tc>
          <w:tcPr>
            <w:tcW w:w="5263" w:type="dxa"/>
            <w:tcBorders>
              <w:right w:val="nil"/>
            </w:tcBorders>
            <w:shd w:val="clear" w:color="auto" w:fill="3B957D"/>
          </w:tcPr>
          <w:p>
            <w:pPr>
              <w:pStyle w:val="TableParagraph"/>
              <w:numPr>
                <w:ilvl w:val="0"/>
                <w:numId w:val="22"/>
              </w:numPr>
              <w:tabs>
                <w:tab w:pos="323" w:val="left" w:leader="none"/>
              </w:tabs>
              <w:spacing w:line="240" w:lineRule="auto" w:before="107" w:after="0"/>
              <w:ind w:left="322" w:right="0" w:hanging="221"/>
              <w:jc w:val="left"/>
              <w:rPr>
                <w:sz w:val="20"/>
              </w:rPr>
            </w:pPr>
            <w:r>
              <w:rPr>
                <w:color w:val="FFFFFF"/>
                <w:sz w:val="20"/>
              </w:rPr>
              <w:t>“Quality of care” - a strategic</w:t>
            </w:r>
            <w:r>
              <w:rPr>
                <w:color w:val="FFFFFF"/>
                <w:spacing w:val="15"/>
                <w:sz w:val="20"/>
              </w:rPr>
              <w:t> </w:t>
            </w:r>
            <w:r>
              <w:rPr>
                <w:color w:val="FFFFFF"/>
                <w:sz w:val="20"/>
              </w:rPr>
              <w:t>priority</w:t>
            </w:r>
          </w:p>
          <w:p>
            <w:pPr>
              <w:pStyle w:val="TableParagraph"/>
              <w:spacing w:before="4"/>
              <w:rPr>
                <w:sz w:val="21"/>
              </w:rPr>
            </w:pPr>
          </w:p>
          <w:p>
            <w:pPr>
              <w:pStyle w:val="TableParagraph"/>
              <w:numPr>
                <w:ilvl w:val="0"/>
                <w:numId w:val="22"/>
              </w:numPr>
              <w:tabs>
                <w:tab w:pos="341" w:val="left" w:leader="none"/>
              </w:tabs>
              <w:spacing w:line="235" w:lineRule="auto" w:before="0" w:after="0"/>
              <w:ind w:left="102" w:right="754" w:firstLine="0"/>
              <w:jc w:val="left"/>
              <w:rPr>
                <w:sz w:val="20"/>
              </w:rPr>
            </w:pPr>
            <w:r>
              <w:rPr>
                <w:color w:val="FFFFFF"/>
                <w:sz w:val="20"/>
              </w:rPr>
              <w:t>Reporting structures and pathways have </w:t>
            </w:r>
            <w:r>
              <w:rPr>
                <w:color w:val="FFFFFF"/>
                <w:spacing w:val="-4"/>
                <w:sz w:val="20"/>
              </w:rPr>
              <w:t>been </w:t>
            </w:r>
            <w:r>
              <w:rPr>
                <w:color w:val="FFFFFF"/>
                <w:sz w:val="20"/>
              </w:rPr>
              <w:t>aligned with Health Board</w:t>
            </w:r>
            <w:r>
              <w:rPr>
                <w:color w:val="FFFFFF"/>
                <w:spacing w:val="12"/>
                <w:sz w:val="20"/>
              </w:rPr>
              <w:t> </w:t>
            </w:r>
            <w:r>
              <w:rPr>
                <w:color w:val="FFFFFF"/>
                <w:sz w:val="20"/>
              </w:rPr>
              <w:t>protocols</w:t>
            </w:r>
          </w:p>
        </w:tc>
      </w:tr>
      <w:tr>
        <w:trPr>
          <w:trHeight w:val="1190" w:hRule="atLeast"/>
        </w:trPr>
        <w:tc>
          <w:tcPr>
            <w:tcW w:w="1453" w:type="dxa"/>
            <w:tcBorders>
              <w:left w:val="nil"/>
            </w:tcBorders>
            <w:shd w:val="clear" w:color="auto" w:fill="3B957D"/>
          </w:tcPr>
          <w:p>
            <w:pPr>
              <w:pStyle w:val="TableParagraph"/>
              <w:spacing w:line="235" w:lineRule="auto" w:before="111"/>
              <w:ind w:left="113" w:right="265"/>
              <w:rPr>
                <w:sz w:val="20"/>
              </w:rPr>
            </w:pPr>
            <w:r>
              <w:rPr>
                <w:color w:val="FFFFFF"/>
                <w:sz w:val="20"/>
              </w:rPr>
              <w:t>Mid and West Wales</w:t>
            </w:r>
          </w:p>
        </w:tc>
        <w:tc>
          <w:tcPr>
            <w:tcW w:w="3243" w:type="dxa"/>
            <w:shd w:val="clear" w:color="auto" w:fill="3B957D"/>
          </w:tcPr>
          <w:p>
            <w:pPr>
              <w:pStyle w:val="TableParagraph"/>
              <w:spacing w:line="235" w:lineRule="auto" w:before="111"/>
              <w:ind w:left="103"/>
              <w:rPr>
                <w:sz w:val="20"/>
              </w:rPr>
            </w:pPr>
            <w:r>
              <w:rPr>
                <w:color w:val="FFFFFF"/>
                <w:sz w:val="20"/>
              </w:rPr>
              <w:t>a. Supporting effective challenge and professional accountability</w:t>
            </w:r>
          </w:p>
        </w:tc>
        <w:tc>
          <w:tcPr>
            <w:tcW w:w="5263" w:type="dxa"/>
            <w:tcBorders>
              <w:right w:val="nil"/>
            </w:tcBorders>
            <w:shd w:val="clear" w:color="auto" w:fill="3B957D"/>
          </w:tcPr>
          <w:p>
            <w:pPr>
              <w:pStyle w:val="TableParagraph"/>
              <w:spacing w:line="235" w:lineRule="auto" w:before="111"/>
              <w:ind w:left="102" w:right="215"/>
              <w:rPr>
                <w:sz w:val="20"/>
              </w:rPr>
            </w:pPr>
            <w:r>
              <w:rPr>
                <w:color w:val="FFFFFF"/>
                <w:sz w:val="20"/>
              </w:rPr>
              <w:t>a. Strengthening clauses and wording of  commissioning contracts with care providers to </w:t>
            </w:r>
            <w:r>
              <w:rPr>
                <w:color w:val="FFFFFF"/>
                <w:spacing w:val="-3"/>
                <w:sz w:val="20"/>
              </w:rPr>
              <w:t>compel </w:t>
            </w:r>
            <w:r>
              <w:rPr>
                <w:color w:val="FFFFFF"/>
                <w:sz w:val="20"/>
              </w:rPr>
              <w:t>providers to cooperate with safeguarding reviews; improving communication and information</w:t>
            </w:r>
            <w:r>
              <w:rPr>
                <w:color w:val="FFFFFF"/>
                <w:spacing w:val="33"/>
                <w:sz w:val="20"/>
              </w:rPr>
              <w:t> </w:t>
            </w:r>
            <w:r>
              <w:rPr>
                <w:color w:val="FFFFFF"/>
                <w:sz w:val="20"/>
              </w:rPr>
              <w:t>sharing</w:t>
            </w:r>
          </w:p>
        </w:tc>
      </w:tr>
      <w:tr>
        <w:trPr>
          <w:trHeight w:val="4097" w:hRule="atLeast"/>
        </w:trPr>
        <w:tc>
          <w:tcPr>
            <w:tcW w:w="1453" w:type="dxa"/>
            <w:tcBorders>
              <w:left w:val="nil"/>
            </w:tcBorders>
            <w:shd w:val="clear" w:color="auto" w:fill="3B957D"/>
          </w:tcPr>
          <w:p>
            <w:pPr>
              <w:pStyle w:val="TableParagraph"/>
              <w:spacing w:before="107"/>
              <w:ind w:left="113"/>
              <w:rPr>
                <w:sz w:val="20"/>
              </w:rPr>
            </w:pPr>
            <w:r>
              <w:rPr>
                <w:color w:val="FFFFFF"/>
                <w:sz w:val="20"/>
              </w:rPr>
              <w:t>North Wales</w:t>
            </w:r>
          </w:p>
        </w:tc>
        <w:tc>
          <w:tcPr>
            <w:tcW w:w="3243" w:type="dxa"/>
            <w:shd w:val="clear" w:color="auto" w:fill="3B957D"/>
          </w:tcPr>
          <w:p>
            <w:pPr>
              <w:pStyle w:val="TableParagraph"/>
              <w:numPr>
                <w:ilvl w:val="0"/>
                <w:numId w:val="23"/>
              </w:numPr>
              <w:tabs>
                <w:tab w:pos="323" w:val="left" w:leader="none"/>
              </w:tabs>
              <w:spacing w:line="235" w:lineRule="auto" w:before="111" w:after="0"/>
              <w:ind w:left="103" w:right="529" w:firstLine="0"/>
              <w:jc w:val="left"/>
              <w:rPr>
                <w:sz w:val="20"/>
              </w:rPr>
            </w:pPr>
            <w:r>
              <w:rPr>
                <w:color w:val="FFFFFF"/>
                <w:sz w:val="20"/>
              </w:rPr>
              <w:t>An elderly </w:t>
            </w:r>
            <w:r>
              <w:rPr>
                <w:color w:val="FFFFFF"/>
                <w:spacing w:val="-4"/>
                <w:sz w:val="20"/>
              </w:rPr>
              <w:t>parent’s  </w:t>
            </w:r>
            <w:r>
              <w:rPr>
                <w:color w:val="FFFFFF"/>
                <w:sz w:val="20"/>
              </w:rPr>
              <w:t>wish to accommodate/ live with </w:t>
            </w:r>
            <w:r>
              <w:rPr>
                <w:color w:val="FFFFFF"/>
                <w:spacing w:val="-17"/>
                <w:sz w:val="20"/>
              </w:rPr>
              <w:t>a </w:t>
            </w:r>
            <w:r>
              <w:rPr>
                <w:color w:val="FFFFFF"/>
                <w:sz w:val="20"/>
              </w:rPr>
              <w:t>physically abusive adult</w:t>
            </w:r>
            <w:r>
              <w:rPr>
                <w:color w:val="FFFFFF"/>
                <w:spacing w:val="34"/>
                <w:sz w:val="20"/>
              </w:rPr>
              <w:t> </w:t>
            </w:r>
            <w:r>
              <w:rPr>
                <w:color w:val="FFFFFF"/>
                <w:sz w:val="20"/>
              </w:rPr>
              <w:t>son</w:t>
            </w:r>
          </w:p>
          <w:p>
            <w:pPr>
              <w:pStyle w:val="TableParagraph"/>
              <w:spacing w:before="6"/>
              <w:rPr>
                <w:sz w:val="21"/>
              </w:rPr>
            </w:pPr>
          </w:p>
          <w:p>
            <w:pPr>
              <w:pStyle w:val="TableParagraph"/>
              <w:numPr>
                <w:ilvl w:val="0"/>
                <w:numId w:val="23"/>
              </w:numPr>
              <w:tabs>
                <w:tab w:pos="342" w:val="left" w:leader="none"/>
              </w:tabs>
              <w:spacing w:line="235" w:lineRule="auto" w:before="0" w:after="0"/>
              <w:ind w:left="103" w:right="148" w:firstLine="0"/>
              <w:jc w:val="both"/>
              <w:rPr>
                <w:sz w:val="20"/>
              </w:rPr>
            </w:pPr>
            <w:r>
              <w:rPr>
                <w:color w:val="FFFFFF"/>
                <w:sz w:val="20"/>
              </w:rPr>
              <w:t>A bereaved man with autism living in the former family home befriended by unscrupulous and assaultive adults – with whom </w:t>
            </w:r>
            <w:r>
              <w:rPr>
                <w:color w:val="FFFFFF"/>
                <w:spacing w:val="-9"/>
                <w:sz w:val="20"/>
              </w:rPr>
              <w:t>he </w:t>
            </w:r>
            <w:r>
              <w:rPr>
                <w:color w:val="FFFFFF"/>
                <w:sz w:val="20"/>
              </w:rPr>
              <w:t>drank</w:t>
            </w:r>
            <w:r>
              <w:rPr>
                <w:color w:val="FFFFFF"/>
                <w:spacing w:val="1"/>
                <w:sz w:val="20"/>
              </w:rPr>
              <w:t> </w:t>
            </w:r>
            <w:r>
              <w:rPr>
                <w:color w:val="FFFFFF"/>
                <w:sz w:val="20"/>
              </w:rPr>
              <w:t>alcohol</w:t>
            </w:r>
          </w:p>
          <w:p>
            <w:pPr>
              <w:pStyle w:val="TableParagraph"/>
              <w:spacing w:before="7"/>
              <w:rPr>
                <w:sz w:val="21"/>
              </w:rPr>
            </w:pPr>
          </w:p>
          <w:p>
            <w:pPr>
              <w:pStyle w:val="TableParagraph"/>
              <w:numPr>
                <w:ilvl w:val="0"/>
                <w:numId w:val="23"/>
              </w:numPr>
              <w:tabs>
                <w:tab w:pos="316" w:val="left" w:leader="none"/>
              </w:tabs>
              <w:spacing w:line="235" w:lineRule="auto" w:before="0" w:after="0"/>
              <w:ind w:left="103" w:right="238" w:firstLine="0"/>
              <w:jc w:val="left"/>
              <w:rPr>
                <w:sz w:val="20"/>
              </w:rPr>
            </w:pPr>
            <w:r>
              <w:rPr>
                <w:color w:val="FFFFFF"/>
                <w:sz w:val="20"/>
              </w:rPr>
              <w:t>A woman receiving in-patient mental health treatment</w:t>
            </w:r>
            <w:r>
              <w:rPr>
                <w:color w:val="FFFFFF"/>
                <w:spacing w:val="19"/>
                <w:sz w:val="20"/>
              </w:rPr>
              <w:t> </w:t>
            </w:r>
            <w:r>
              <w:rPr>
                <w:color w:val="FFFFFF"/>
                <w:sz w:val="20"/>
              </w:rPr>
              <w:t>told</w:t>
            </w:r>
          </w:p>
          <w:p>
            <w:pPr>
              <w:pStyle w:val="TableParagraph"/>
              <w:spacing w:line="235" w:lineRule="auto" w:before="1"/>
              <w:ind w:left="103" w:right="436"/>
              <w:rPr>
                <w:sz w:val="20"/>
              </w:rPr>
            </w:pPr>
            <w:r>
              <w:rPr>
                <w:color w:val="FFFFFF"/>
                <w:sz w:val="20"/>
              </w:rPr>
              <w:t>a nurse that she was having  an intimate relationship with </w:t>
            </w:r>
            <w:r>
              <w:rPr>
                <w:color w:val="FFFFFF"/>
                <w:spacing w:val="-16"/>
                <w:sz w:val="20"/>
              </w:rPr>
              <w:t>a </w:t>
            </w:r>
            <w:r>
              <w:rPr>
                <w:color w:val="FFFFFF"/>
                <w:sz w:val="20"/>
              </w:rPr>
              <w:t>support</w:t>
            </w:r>
            <w:r>
              <w:rPr>
                <w:color w:val="FFFFFF"/>
                <w:spacing w:val="2"/>
                <w:sz w:val="20"/>
              </w:rPr>
              <w:t> </w:t>
            </w:r>
            <w:r>
              <w:rPr>
                <w:color w:val="FFFFFF"/>
                <w:sz w:val="20"/>
              </w:rPr>
              <w:t>worker</w:t>
            </w:r>
          </w:p>
        </w:tc>
        <w:tc>
          <w:tcPr>
            <w:tcW w:w="5263" w:type="dxa"/>
            <w:tcBorders>
              <w:right w:val="nil"/>
            </w:tcBorders>
            <w:shd w:val="clear" w:color="auto" w:fill="3B957D"/>
          </w:tcPr>
          <w:p>
            <w:pPr>
              <w:pStyle w:val="TableParagraph"/>
              <w:numPr>
                <w:ilvl w:val="0"/>
                <w:numId w:val="24"/>
              </w:numPr>
              <w:tabs>
                <w:tab w:pos="323" w:val="left" w:leader="none"/>
              </w:tabs>
              <w:spacing w:line="235" w:lineRule="auto" w:before="111" w:after="0"/>
              <w:ind w:left="102" w:right="192" w:firstLine="0"/>
              <w:jc w:val="left"/>
              <w:rPr>
                <w:sz w:val="20"/>
              </w:rPr>
            </w:pPr>
            <w:r>
              <w:rPr>
                <w:color w:val="FFFFFF"/>
                <w:sz w:val="20"/>
              </w:rPr>
              <w:t>Collaboration across sectors resulting in a “low </w:t>
            </w:r>
            <w:r>
              <w:rPr>
                <w:color w:val="FFFFFF"/>
                <w:spacing w:val="-4"/>
                <w:sz w:val="20"/>
              </w:rPr>
              <w:t>level </w:t>
            </w:r>
            <w:r>
              <w:rPr>
                <w:color w:val="FFFFFF"/>
                <w:sz w:val="20"/>
              </w:rPr>
              <w:t>care package” included a leaflet drop to neighbors about domestic violence and how to report</w:t>
            </w:r>
            <w:r>
              <w:rPr>
                <w:color w:val="FFFFFF"/>
                <w:spacing w:val="28"/>
                <w:sz w:val="20"/>
              </w:rPr>
              <w:t> </w:t>
            </w:r>
            <w:r>
              <w:rPr>
                <w:color w:val="FFFFFF"/>
                <w:sz w:val="20"/>
              </w:rPr>
              <w:t>it</w:t>
            </w:r>
          </w:p>
          <w:p>
            <w:pPr>
              <w:pStyle w:val="TableParagraph"/>
              <w:spacing w:before="6"/>
              <w:rPr>
                <w:sz w:val="21"/>
              </w:rPr>
            </w:pPr>
          </w:p>
          <w:p>
            <w:pPr>
              <w:pStyle w:val="TableParagraph"/>
              <w:numPr>
                <w:ilvl w:val="0"/>
                <w:numId w:val="24"/>
              </w:numPr>
              <w:tabs>
                <w:tab w:pos="341" w:val="left" w:leader="none"/>
              </w:tabs>
              <w:spacing w:line="235" w:lineRule="auto" w:before="0" w:after="0"/>
              <w:ind w:left="102" w:right="161" w:firstLine="0"/>
              <w:jc w:val="left"/>
              <w:rPr>
                <w:sz w:val="20"/>
              </w:rPr>
            </w:pPr>
            <w:r>
              <w:rPr>
                <w:color w:val="FFFFFF"/>
                <w:sz w:val="20"/>
              </w:rPr>
              <w:t>An immediate protection plan involved a sympathetic local hotel where the man was known; a placement in a neighbouring town was arranged </w:t>
            </w:r>
            <w:r>
              <w:rPr>
                <w:color w:val="FFFFFF"/>
                <w:spacing w:val="-4"/>
                <w:sz w:val="20"/>
              </w:rPr>
              <w:t>which </w:t>
            </w:r>
            <w:r>
              <w:rPr>
                <w:color w:val="FFFFFF"/>
                <w:sz w:val="20"/>
              </w:rPr>
              <w:t>is proactive in involving the man in the</w:t>
            </w:r>
            <w:r>
              <w:rPr>
                <w:color w:val="FFFFFF"/>
                <w:spacing w:val="47"/>
                <w:sz w:val="20"/>
              </w:rPr>
              <w:t> </w:t>
            </w:r>
            <w:r>
              <w:rPr>
                <w:color w:val="FFFFFF"/>
                <w:sz w:val="20"/>
              </w:rPr>
              <w:t>community</w:t>
            </w:r>
          </w:p>
          <w:p>
            <w:pPr>
              <w:pStyle w:val="TableParagraph"/>
              <w:spacing w:before="6"/>
              <w:rPr>
                <w:sz w:val="21"/>
              </w:rPr>
            </w:pPr>
          </w:p>
          <w:p>
            <w:pPr>
              <w:pStyle w:val="TableParagraph"/>
              <w:numPr>
                <w:ilvl w:val="0"/>
                <w:numId w:val="24"/>
              </w:numPr>
              <w:tabs>
                <w:tab w:pos="315" w:val="left" w:leader="none"/>
              </w:tabs>
              <w:spacing w:line="235" w:lineRule="auto" w:before="1" w:after="0"/>
              <w:ind w:left="102" w:right="245" w:firstLine="0"/>
              <w:jc w:val="left"/>
              <w:rPr>
                <w:sz w:val="20"/>
              </w:rPr>
            </w:pPr>
            <w:r>
              <w:rPr>
                <w:color w:val="FFFFFF"/>
                <w:sz w:val="20"/>
              </w:rPr>
              <w:t>the police and adult safeguarding were informed and the suspect was suspended and prosecuted; the woman</w:t>
            </w:r>
            <w:r>
              <w:rPr>
                <w:color w:val="FFFFFF"/>
                <w:spacing w:val="11"/>
                <w:sz w:val="20"/>
              </w:rPr>
              <w:t> </w:t>
            </w:r>
            <w:r>
              <w:rPr>
                <w:color w:val="FFFFFF"/>
                <w:sz w:val="20"/>
              </w:rPr>
              <w:t>was</w:t>
            </w:r>
            <w:r>
              <w:rPr>
                <w:color w:val="FFFFFF"/>
                <w:spacing w:val="11"/>
                <w:sz w:val="20"/>
              </w:rPr>
              <w:t> </w:t>
            </w:r>
            <w:r>
              <w:rPr>
                <w:color w:val="FFFFFF"/>
                <w:sz w:val="20"/>
              </w:rPr>
              <w:t>supported</w:t>
            </w:r>
            <w:r>
              <w:rPr>
                <w:color w:val="FFFFFF"/>
                <w:spacing w:val="12"/>
                <w:sz w:val="20"/>
              </w:rPr>
              <w:t> </w:t>
            </w:r>
            <w:r>
              <w:rPr>
                <w:color w:val="FFFFFF"/>
                <w:sz w:val="20"/>
              </w:rPr>
              <w:t>to</w:t>
            </w:r>
            <w:r>
              <w:rPr>
                <w:color w:val="FFFFFF"/>
                <w:spacing w:val="11"/>
                <w:sz w:val="20"/>
              </w:rPr>
              <w:t> </w:t>
            </w:r>
            <w:r>
              <w:rPr>
                <w:color w:val="FFFFFF"/>
                <w:sz w:val="20"/>
              </w:rPr>
              <w:t>present</w:t>
            </w:r>
            <w:r>
              <w:rPr>
                <w:color w:val="FFFFFF"/>
                <w:spacing w:val="12"/>
                <w:sz w:val="20"/>
              </w:rPr>
              <w:t> </w:t>
            </w:r>
            <w:r>
              <w:rPr>
                <w:color w:val="FFFFFF"/>
                <w:sz w:val="20"/>
              </w:rPr>
              <w:t>evidence</w:t>
            </w:r>
            <w:r>
              <w:rPr>
                <w:color w:val="FFFFFF"/>
                <w:spacing w:val="11"/>
                <w:sz w:val="20"/>
              </w:rPr>
              <w:t> </w:t>
            </w:r>
            <w:r>
              <w:rPr>
                <w:color w:val="FFFFFF"/>
                <w:sz w:val="20"/>
              </w:rPr>
              <w:t>at</w:t>
            </w:r>
            <w:r>
              <w:rPr>
                <w:color w:val="FFFFFF"/>
                <w:spacing w:val="12"/>
                <w:sz w:val="20"/>
              </w:rPr>
              <w:t> </w:t>
            </w:r>
            <w:r>
              <w:rPr>
                <w:color w:val="FFFFFF"/>
                <w:sz w:val="20"/>
              </w:rPr>
              <w:t>the</w:t>
            </w:r>
            <w:r>
              <w:rPr>
                <w:color w:val="FFFFFF"/>
                <w:spacing w:val="11"/>
                <w:sz w:val="20"/>
              </w:rPr>
              <w:t> </w:t>
            </w:r>
            <w:r>
              <w:rPr>
                <w:color w:val="FFFFFF"/>
                <w:spacing w:val="-4"/>
                <w:sz w:val="20"/>
              </w:rPr>
              <w:t>trial</w:t>
            </w:r>
          </w:p>
        </w:tc>
      </w:tr>
      <w:tr>
        <w:trPr>
          <w:trHeight w:val="3564" w:hRule="atLeast"/>
        </w:trPr>
        <w:tc>
          <w:tcPr>
            <w:tcW w:w="1453" w:type="dxa"/>
            <w:tcBorders>
              <w:left w:val="nil"/>
              <w:bottom w:val="nil"/>
            </w:tcBorders>
            <w:shd w:val="clear" w:color="auto" w:fill="3B957D"/>
          </w:tcPr>
          <w:p>
            <w:pPr>
              <w:pStyle w:val="TableParagraph"/>
              <w:spacing w:before="107"/>
              <w:ind w:left="113"/>
              <w:rPr>
                <w:sz w:val="20"/>
              </w:rPr>
            </w:pPr>
            <w:r>
              <w:rPr>
                <w:color w:val="FFFFFF"/>
                <w:sz w:val="20"/>
              </w:rPr>
              <w:t>Western Bay</w:t>
            </w:r>
          </w:p>
        </w:tc>
        <w:tc>
          <w:tcPr>
            <w:tcW w:w="3243" w:type="dxa"/>
            <w:tcBorders>
              <w:bottom w:val="nil"/>
            </w:tcBorders>
            <w:shd w:val="clear" w:color="auto" w:fill="3B957D"/>
          </w:tcPr>
          <w:p>
            <w:pPr>
              <w:pStyle w:val="TableParagraph"/>
              <w:numPr>
                <w:ilvl w:val="0"/>
                <w:numId w:val="25"/>
              </w:numPr>
              <w:tabs>
                <w:tab w:pos="323" w:val="left" w:leader="none"/>
              </w:tabs>
              <w:spacing w:line="235" w:lineRule="auto" w:before="111" w:after="0"/>
              <w:ind w:left="103" w:right="601" w:firstLine="0"/>
              <w:jc w:val="left"/>
              <w:rPr>
                <w:sz w:val="20"/>
              </w:rPr>
            </w:pPr>
            <w:r>
              <w:rPr>
                <w:color w:val="FFFFFF"/>
                <w:sz w:val="20"/>
              </w:rPr>
              <w:t>the unsafe grouping of learning disabled residents resulting in a sexual </w:t>
            </w:r>
            <w:r>
              <w:rPr>
                <w:color w:val="FFFFFF"/>
                <w:spacing w:val="-3"/>
                <w:sz w:val="20"/>
              </w:rPr>
              <w:t>assault; </w:t>
            </w:r>
            <w:r>
              <w:rPr>
                <w:color w:val="FFFFFF"/>
                <w:sz w:val="20"/>
              </w:rPr>
              <w:t>a slow police response</w:t>
            </w:r>
            <w:r>
              <w:rPr>
                <w:color w:val="FFFFFF"/>
                <w:spacing w:val="35"/>
                <w:sz w:val="20"/>
              </w:rPr>
              <w:t> </w:t>
            </w:r>
            <w:r>
              <w:rPr>
                <w:color w:val="FFFFFF"/>
                <w:sz w:val="20"/>
              </w:rPr>
              <w:t>and</w:t>
            </w:r>
          </w:p>
          <w:p>
            <w:pPr>
              <w:pStyle w:val="TableParagraph"/>
              <w:spacing w:line="235" w:lineRule="auto" w:before="1"/>
              <w:ind w:left="103" w:right="434"/>
              <w:jc w:val="both"/>
              <w:rPr>
                <w:sz w:val="20"/>
              </w:rPr>
            </w:pPr>
            <w:r>
              <w:rPr>
                <w:color w:val="FFFFFF"/>
                <w:sz w:val="20"/>
              </w:rPr>
              <w:t>loss of forensic evidence; and communication with relatives during crises</w:t>
            </w:r>
          </w:p>
          <w:p>
            <w:pPr>
              <w:pStyle w:val="TableParagraph"/>
              <w:spacing w:before="6"/>
              <w:rPr>
                <w:sz w:val="21"/>
              </w:rPr>
            </w:pPr>
          </w:p>
          <w:p>
            <w:pPr>
              <w:pStyle w:val="TableParagraph"/>
              <w:numPr>
                <w:ilvl w:val="0"/>
                <w:numId w:val="25"/>
              </w:numPr>
              <w:tabs>
                <w:tab w:pos="342" w:val="left" w:leader="none"/>
              </w:tabs>
              <w:spacing w:line="235" w:lineRule="auto" w:before="0" w:after="0"/>
              <w:ind w:left="103" w:right="272" w:firstLine="0"/>
              <w:jc w:val="left"/>
              <w:rPr>
                <w:sz w:val="20"/>
              </w:rPr>
            </w:pPr>
            <w:r>
              <w:rPr>
                <w:color w:val="FFFFFF"/>
                <w:sz w:val="20"/>
              </w:rPr>
              <w:t>the conviction of a health board worker for murder who had been suspended following allegations of sexual assaults </w:t>
            </w:r>
            <w:r>
              <w:rPr>
                <w:color w:val="FFFFFF"/>
                <w:spacing w:val="-9"/>
                <w:sz w:val="20"/>
              </w:rPr>
              <w:t>of </w:t>
            </w:r>
            <w:r>
              <w:rPr>
                <w:color w:val="FFFFFF"/>
                <w:sz w:val="20"/>
              </w:rPr>
              <w:t>patients</w:t>
            </w:r>
          </w:p>
        </w:tc>
        <w:tc>
          <w:tcPr>
            <w:tcW w:w="5263" w:type="dxa"/>
            <w:tcBorders>
              <w:bottom w:val="nil"/>
              <w:right w:val="nil"/>
            </w:tcBorders>
            <w:shd w:val="clear" w:color="auto" w:fill="3B957D"/>
          </w:tcPr>
          <w:p>
            <w:pPr>
              <w:pStyle w:val="TableParagraph"/>
              <w:numPr>
                <w:ilvl w:val="0"/>
                <w:numId w:val="26"/>
              </w:numPr>
              <w:tabs>
                <w:tab w:pos="323" w:val="left" w:leader="none"/>
              </w:tabs>
              <w:spacing w:line="235" w:lineRule="auto" w:before="111" w:after="0"/>
              <w:ind w:left="102" w:right="599" w:firstLine="0"/>
              <w:jc w:val="left"/>
              <w:rPr>
                <w:sz w:val="20"/>
              </w:rPr>
            </w:pPr>
            <w:r>
              <w:rPr>
                <w:color w:val="FFFFFF"/>
                <w:sz w:val="20"/>
              </w:rPr>
              <w:t>Compatibility risk assessments based on what </w:t>
            </w:r>
            <w:r>
              <w:rPr>
                <w:color w:val="FFFFFF"/>
                <w:spacing w:val="55"/>
                <w:sz w:val="20"/>
              </w:rPr>
              <w:t> </w:t>
            </w:r>
            <w:r>
              <w:rPr>
                <w:color w:val="FFFFFF"/>
                <w:sz w:val="20"/>
              </w:rPr>
              <w:t>is</w:t>
            </w:r>
            <w:r>
              <w:rPr>
                <w:color w:val="FFFFFF"/>
                <w:spacing w:val="12"/>
                <w:sz w:val="20"/>
              </w:rPr>
              <w:t> </w:t>
            </w:r>
            <w:r>
              <w:rPr>
                <w:color w:val="FFFFFF"/>
                <w:sz w:val="20"/>
              </w:rPr>
              <w:t>known</w:t>
            </w:r>
            <w:r>
              <w:rPr>
                <w:color w:val="FFFFFF"/>
                <w:spacing w:val="12"/>
                <w:sz w:val="20"/>
              </w:rPr>
              <w:t> </w:t>
            </w:r>
            <w:r>
              <w:rPr>
                <w:color w:val="FFFFFF"/>
                <w:sz w:val="20"/>
              </w:rPr>
              <w:t>of</w:t>
            </w:r>
            <w:r>
              <w:rPr>
                <w:color w:val="FFFFFF"/>
                <w:spacing w:val="12"/>
                <w:sz w:val="20"/>
              </w:rPr>
              <w:t> </w:t>
            </w:r>
            <w:r>
              <w:rPr>
                <w:color w:val="FFFFFF"/>
                <w:sz w:val="20"/>
              </w:rPr>
              <w:t>a</w:t>
            </w:r>
            <w:r>
              <w:rPr>
                <w:color w:val="FFFFFF"/>
                <w:spacing w:val="12"/>
                <w:sz w:val="20"/>
              </w:rPr>
              <w:t> </w:t>
            </w:r>
            <w:r>
              <w:rPr>
                <w:color w:val="FFFFFF"/>
                <w:sz w:val="20"/>
              </w:rPr>
              <w:t>new</w:t>
            </w:r>
            <w:r>
              <w:rPr>
                <w:color w:val="FFFFFF"/>
                <w:spacing w:val="12"/>
                <w:sz w:val="20"/>
              </w:rPr>
              <w:t> </w:t>
            </w:r>
            <w:r>
              <w:rPr>
                <w:color w:val="FFFFFF"/>
                <w:spacing w:val="-3"/>
                <w:sz w:val="20"/>
              </w:rPr>
              <w:t>resident’s</w:t>
            </w:r>
            <w:r>
              <w:rPr>
                <w:color w:val="FFFFFF"/>
                <w:spacing w:val="12"/>
                <w:sz w:val="20"/>
              </w:rPr>
              <w:t> </w:t>
            </w:r>
            <w:r>
              <w:rPr>
                <w:color w:val="FFFFFF"/>
                <w:sz w:val="20"/>
              </w:rPr>
              <w:t>history;</w:t>
            </w:r>
            <w:r>
              <w:rPr>
                <w:color w:val="FFFFFF"/>
                <w:spacing w:val="12"/>
                <w:sz w:val="20"/>
              </w:rPr>
              <w:t> </w:t>
            </w:r>
            <w:r>
              <w:rPr>
                <w:color w:val="FFFFFF"/>
                <w:sz w:val="20"/>
              </w:rPr>
              <w:t>new</w:t>
            </w:r>
            <w:r>
              <w:rPr>
                <w:color w:val="FFFFFF"/>
                <w:spacing w:val="12"/>
                <w:sz w:val="20"/>
              </w:rPr>
              <w:t> </w:t>
            </w:r>
            <w:r>
              <w:rPr>
                <w:color w:val="FFFFFF"/>
                <w:spacing w:val="-3"/>
                <w:sz w:val="20"/>
              </w:rPr>
              <w:t>residents</w:t>
            </w:r>
          </w:p>
          <w:p>
            <w:pPr>
              <w:pStyle w:val="TableParagraph"/>
              <w:spacing w:line="235" w:lineRule="auto" w:before="1"/>
              <w:ind w:left="102"/>
              <w:rPr>
                <w:sz w:val="20"/>
              </w:rPr>
            </w:pPr>
            <w:r>
              <w:rPr>
                <w:color w:val="FFFFFF"/>
                <w:sz w:val="20"/>
              </w:rPr>
              <w:t>considered by the professionals managing placements; training for police officers; attention to communications</w:t>
            </w:r>
          </w:p>
          <w:p>
            <w:pPr>
              <w:pStyle w:val="TableParagraph"/>
              <w:spacing w:before="5"/>
              <w:rPr>
                <w:sz w:val="21"/>
              </w:rPr>
            </w:pPr>
          </w:p>
          <w:p>
            <w:pPr>
              <w:pStyle w:val="TableParagraph"/>
              <w:numPr>
                <w:ilvl w:val="0"/>
                <w:numId w:val="26"/>
              </w:numPr>
              <w:tabs>
                <w:tab w:pos="341" w:val="left" w:leader="none"/>
              </w:tabs>
              <w:spacing w:line="235" w:lineRule="auto" w:before="1" w:after="0"/>
              <w:ind w:left="102" w:right="607" w:firstLine="0"/>
              <w:jc w:val="both"/>
              <w:rPr>
                <w:sz w:val="20"/>
              </w:rPr>
            </w:pPr>
            <w:r>
              <w:rPr>
                <w:color w:val="FFFFFF"/>
                <w:sz w:val="20"/>
              </w:rPr>
              <w:t>recruitment processes; safeguarding </w:t>
            </w:r>
            <w:r>
              <w:rPr>
                <w:color w:val="FFFFFF"/>
                <w:spacing w:val="-3"/>
                <w:sz w:val="20"/>
              </w:rPr>
              <w:t>processes; </w:t>
            </w:r>
            <w:r>
              <w:rPr>
                <w:color w:val="FFFFFF"/>
                <w:sz w:val="20"/>
              </w:rPr>
              <w:t>incident reporting and escalation procedures; </w:t>
            </w:r>
            <w:r>
              <w:rPr>
                <w:color w:val="FFFFFF"/>
                <w:spacing w:val="-4"/>
                <w:sz w:val="20"/>
              </w:rPr>
              <w:t>and </w:t>
            </w:r>
            <w:r>
              <w:rPr>
                <w:color w:val="FFFFFF"/>
                <w:sz w:val="20"/>
              </w:rPr>
              <w:t>attention to patient</w:t>
            </w:r>
            <w:r>
              <w:rPr>
                <w:color w:val="FFFFFF"/>
                <w:spacing w:val="7"/>
                <w:sz w:val="20"/>
              </w:rPr>
              <w:t> </w:t>
            </w:r>
            <w:r>
              <w:rPr>
                <w:color w:val="FFFFFF"/>
                <w:sz w:val="20"/>
              </w:rPr>
              <w:t>experience</w:t>
            </w:r>
          </w:p>
        </w:tc>
      </w:tr>
    </w:tbl>
    <w:p>
      <w:pPr>
        <w:pStyle w:val="BodyText"/>
        <w:spacing w:before="10"/>
        <w:rPr>
          <w:sz w:val="19"/>
        </w:rPr>
      </w:pPr>
    </w:p>
    <w:p>
      <w:pPr>
        <w:spacing w:before="100"/>
        <w:ind w:left="927" w:right="0" w:firstLine="0"/>
        <w:jc w:val="left"/>
        <w:rPr>
          <w:sz w:val="14"/>
        </w:rPr>
      </w:pPr>
      <w:r>
        <w:rPr>
          <w:color w:val="231F20"/>
          <w:sz w:val="14"/>
        </w:rPr>
        <w:t>*</w:t>
      </w:r>
      <w:r>
        <w:rPr>
          <w:sz w:val="14"/>
        </w:rPr>
        <w:t> </w:t>
      </w:r>
      <w:hyperlink r:id="rId44">
        <w:r>
          <w:rPr>
            <w:sz w:val="14"/>
            <w:u w:val="single"/>
          </w:rPr>
          <w:t>https://gov.wales/topics/health/publications/socialcare/reports/accountability/?lang=en</w:t>
        </w:r>
      </w:hyperlink>
    </w:p>
    <w:p>
      <w:pPr>
        <w:spacing w:after="0"/>
        <w:jc w:val="left"/>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65856" filled="true" fillcolor="#3b957d" stroked="false">
            <v:fill type="solid"/>
            <w10:wrap type="none"/>
          </v:rect>
        </w:pict>
      </w:r>
      <w:r>
        <w:rPr/>
        <w:pict>
          <v:shape style="position:absolute;margin-left:573.765198pt;margin-top:182.052719pt;width:15.7pt;height:477.8pt;mso-position-horizontal-relative:page;mso-position-vertical-relative:page;z-index:15866368"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39</w:t>
      </w:r>
    </w:p>
    <w:p>
      <w:pPr>
        <w:pStyle w:val="BodyText"/>
        <w:rPr>
          <w:sz w:val="48"/>
        </w:rPr>
      </w:pPr>
    </w:p>
    <w:p>
      <w:pPr>
        <w:pStyle w:val="BodyText"/>
        <w:spacing w:before="4"/>
        <w:rPr>
          <w:sz w:val="47"/>
        </w:rPr>
      </w:pPr>
    </w:p>
    <w:p>
      <w:pPr>
        <w:pStyle w:val="Heading1"/>
        <w:spacing w:line="201" w:lineRule="auto" w:before="0"/>
        <w:ind w:right="979"/>
      </w:pPr>
      <w:r>
        <w:rPr>
          <w:color w:val="3B957D"/>
        </w:rPr>
        <w:t>When and how children or adults exercised an opportunity to participate in the Boards’ work and how this contributed to the Boards achieving their </w:t>
      </w:r>
      <w:r>
        <w:rPr>
          <w:color w:val="3B957D"/>
          <w:spacing w:val="-3"/>
        </w:rPr>
        <w:t>outcomes</w:t>
      </w:r>
    </w:p>
    <w:p>
      <w:pPr>
        <w:pStyle w:val="BodyText"/>
        <w:spacing w:line="230" w:lineRule="auto" w:before="160"/>
        <w:ind w:left="360" w:right="979"/>
      </w:pPr>
      <w:r>
        <w:rPr>
          <w:color w:val="231F20"/>
        </w:rPr>
        <w:t>In the National </w:t>
      </w:r>
      <w:r>
        <w:rPr>
          <w:color w:val="231F20"/>
          <w:spacing w:val="-5"/>
        </w:rPr>
        <w:t>Board’s </w:t>
      </w:r>
      <w:r>
        <w:rPr>
          <w:color w:val="231F20"/>
        </w:rPr>
        <w:t>first annual report (2016) we reported that the Chairs of Regional Boards saw engagement “with those using safeguarding services was work in progress in most localities. </w:t>
      </w:r>
      <w:r>
        <w:rPr>
          <w:color w:val="231F20"/>
          <w:spacing w:val="-9"/>
        </w:rPr>
        <w:t>It </w:t>
      </w:r>
      <w:r>
        <w:rPr>
          <w:color w:val="231F20"/>
        </w:rPr>
        <w:t>is resource-intensive because it has to be continuous.” In 2018, there is hesitancy in most</w:t>
      </w:r>
      <w:r>
        <w:rPr>
          <w:color w:val="231F20"/>
          <w:spacing w:val="-13"/>
        </w:rPr>
        <w:t> </w:t>
      </w:r>
      <w:r>
        <w:rPr>
          <w:color w:val="231F20"/>
        </w:rPr>
        <w:t>Regional</w:t>
      </w:r>
    </w:p>
    <w:p>
      <w:pPr>
        <w:pStyle w:val="BodyText"/>
        <w:spacing w:line="277" w:lineRule="exact"/>
        <w:ind w:left="360"/>
      </w:pPr>
      <w:r>
        <w:rPr>
          <w:color w:val="231F20"/>
        </w:rPr>
        <w:t>Boards’ accounts of participation with some still focused on the preparatory actions with the interests</w:t>
      </w:r>
    </w:p>
    <w:p>
      <w:pPr>
        <w:pStyle w:val="BodyText"/>
        <w:spacing w:line="230" w:lineRule="auto" w:before="3"/>
        <w:ind w:left="360" w:right="1141"/>
      </w:pPr>
      <w:r>
        <w:rPr>
          <w:color w:val="231F20"/>
        </w:rPr>
        <w:t>of adults who are known to services limited to episodic fact-finding. Introducing new people to the dynamics of working arrangements is not a simple matter – new demands may be made and considerations raised. The Boards approach participation in different ways and do not generally reveal </w:t>
      </w:r>
      <w:r>
        <w:rPr>
          <w:rFonts w:ascii="Avenir" w:hAnsi="Avenir"/>
          <w:i/>
          <w:color w:val="231F20"/>
        </w:rPr>
        <w:t>how </w:t>
      </w:r>
      <w:r>
        <w:rPr>
          <w:color w:val="231F20"/>
        </w:rPr>
        <w:t>they engaged young people and adults in identifying the matters that they wanted to</w:t>
      </w:r>
    </w:p>
    <w:p>
      <w:pPr>
        <w:pStyle w:val="BodyText"/>
        <w:spacing w:line="230" w:lineRule="auto" w:before="1"/>
        <w:ind w:left="360" w:right="445"/>
      </w:pPr>
      <w:r>
        <w:rPr>
          <w:color w:val="231F20"/>
        </w:rPr>
        <w:t>confront – looking within or beyond themselves for new knowledge and skills. Some Boards cite the participation of professionals, which was unexpected. As Mid and West Wales demonstrates however, once the commitment is made, participation is continuous rather than time limited.</w:t>
      </w:r>
    </w:p>
    <w:p>
      <w:pPr>
        <w:pStyle w:val="BodyText"/>
        <w:rPr>
          <w:sz w:val="20"/>
        </w:rPr>
      </w:pPr>
    </w:p>
    <w:p>
      <w:pPr>
        <w:pStyle w:val="BodyText"/>
        <w:rPr>
          <w:sz w:val="20"/>
        </w:rPr>
      </w:pPr>
    </w:p>
    <w:p>
      <w:pPr>
        <w:pStyle w:val="BodyText"/>
        <w:spacing w:before="11"/>
        <w:rPr>
          <w:sz w:val="14"/>
        </w:rPr>
      </w:pPr>
      <w:r>
        <w:rPr/>
        <w:pict>
          <v:group style="position:absolute;margin-left:56.106998pt;margin-top:11.80334pt;width:445.35pt;height:246.25pt;mso-position-horizontal-relative:page;mso-position-vertical-relative:paragraph;z-index:-15592448;mso-wrap-distance-left:0;mso-wrap-distance-right:0" coordorigin="1122,236" coordsize="8907,4925">
            <v:rect style="position:absolute;left:1312;top:399;width:8676;height:4709" filled="true" fillcolor="#231f20" stroked="false">
              <v:fill opacity="26214f" type="solid"/>
            </v:rect>
            <v:rect style="position:absolute;left:1294;top:380;width:8482;height:4512" filled="true" fillcolor="#fff7ef" stroked="false">
              <v:fill type="solid"/>
            </v:rect>
            <v:rect style="position:absolute;left:1294;top:380;width:8482;height:4512" filled="false" stroked="true" strokeweight=".212pt" strokecolor="#231f20">
              <v:stroke dashstyle="solid"/>
            </v:rect>
            <v:rect style="position:absolute;left:1122;top:262;width:1325;height:1325" filled="true" fillcolor="#231f20" stroked="false">
              <v:fill opacity="26214f" type="solid"/>
            </v:rect>
            <v:shape style="position:absolute;left:1125;top:236;width:8903;height:4925" coordorigin="1126,236" coordsize="8903,4925" path="m2439,236l1126,236,1126,1537,2439,236xm10029,3727l8595,5160,10029,5160,10029,3727xe" filled="true" fillcolor="#ffffff" stroked="false">
              <v:path arrowok="t"/>
              <v:fill type="solid"/>
            </v:shape>
            <v:shape style="position:absolute;left:2622;top:862;width:5796;height:1563" type="#_x0000_t75" stroked="false">
              <v:imagedata r:id="rId45" o:title=""/>
            </v:shape>
            <v:shape style="position:absolute;left:1122;top:236;width:8907;height:4925"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2"/>
                      </w:rPr>
                    </w:pPr>
                  </w:p>
                  <w:p>
                    <w:pPr>
                      <w:spacing w:line="216" w:lineRule="auto" w:before="0"/>
                      <w:ind w:left="925" w:right="1032" w:hanging="1"/>
                      <w:jc w:val="center"/>
                      <w:rPr>
                        <w:sz w:val="22"/>
                      </w:rPr>
                    </w:pPr>
                    <w:r>
                      <w:rPr>
                        <w:rFonts w:ascii="Avenir" w:hAnsi="Avenir"/>
                        <w:b/>
                        <w:color w:val="231F20"/>
                        <w:sz w:val="22"/>
                      </w:rPr>
                      <w:t>Cardiff and </w:t>
                    </w:r>
                    <w:r>
                      <w:rPr>
                        <w:rFonts w:ascii="Avenir" w:hAnsi="Avenir"/>
                        <w:b/>
                        <w:color w:val="231F20"/>
                        <w:spacing w:val="-5"/>
                        <w:sz w:val="22"/>
                      </w:rPr>
                      <w:t>Vale’s </w:t>
                    </w:r>
                    <w:r>
                      <w:rPr>
                        <w:color w:val="231F20"/>
                        <w:sz w:val="22"/>
                      </w:rPr>
                      <w:t>Communication and Engagement Sub Group for both Boards has met on four occasions and has reviewed and </w:t>
                    </w:r>
                    <w:r>
                      <w:rPr>
                        <w:color w:val="231F20"/>
                        <w:spacing w:val="-3"/>
                        <w:sz w:val="22"/>
                      </w:rPr>
                      <w:t>updated </w:t>
                    </w:r>
                    <w:r>
                      <w:rPr>
                        <w:color w:val="231F20"/>
                        <w:sz w:val="22"/>
                      </w:rPr>
                      <w:t>its </w:t>
                    </w:r>
                    <w:r>
                      <w:rPr>
                        <w:color w:val="231F20"/>
                        <w:spacing w:val="-5"/>
                        <w:sz w:val="22"/>
                      </w:rPr>
                      <w:t>Terms </w:t>
                    </w:r>
                    <w:r>
                      <w:rPr>
                        <w:color w:val="231F20"/>
                        <w:sz w:val="22"/>
                      </w:rPr>
                      <w:t>of Reference and the Communication Strategy; it has updated and redesigned its website and has launched a</w:t>
                    </w:r>
                    <w:r>
                      <w:rPr>
                        <w:color w:val="231F20"/>
                        <w:spacing w:val="2"/>
                        <w:sz w:val="22"/>
                      </w:rPr>
                      <w:t> </w:t>
                    </w:r>
                    <w:r>
                      <w:rPr>
                        <w:color w:val="231F20"/>
                        <w:sz w:val="22"/>
                      </w:rPr>
                      <w:t>newsletter.</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group style="position:absolute;margin-left:26.0226pt;margin-top:10.4305pt;width:507.1pt;height:115.2pt;mso-position-horizontal-relative:page;mso-position-vertical-relative:paragraph;z-index:-15591936;mso-wrap-distance-left:0;mso-wrap-distance-right:0" coordorigin="520,209" coordsize="10142,2304">
            <v:shape style="position:absolute;left:1428;top:310;width:9233;height:2155" coordorigin="1429,311" coordsize="9233,2155" path="m10095,311l1996,311,1668,320,1500,382,1438,550,1429,878,1429,1898,1438,2226,1500,2394,1668,2456,1996,2465,10095,2465,10422,2456,10591,2394,10653,2226,10662,1898,10662,878,10653,550,10591,382,10422,320,10095,311xe" filled="true" fillcolor="#3e77a4" stroked="false">
              <v:path arrowok="t"/>
              <v:fill type="solid"/>
            </v:shape>
            <v:shape style="position:absolute;left:520;top:208;width:2304;height:2304" coordorigin="520,209" coordsize="2304,2304" path="m1672,209l1596,211,1522,218,1449,230,1378,247,1308,267,1240,292,1175,321,1111,354,1050,391,992,431,936,474,883,521,833,571,786,624,743,680,702,739,666,800,633,863,604,929,579,996,558,1066,542,1137,530,1210,523,1284,520,1360,523,1436,530,1510,542,1583,558,1655,579,1724,604,1792,633,1857,666,1921,702,1982,743,2040,786,2096,833,2149,883,2199,936,2246,992,2290,1050,2330,1111,2366,1175,2399,1240,2428,1308,2453,1378,2474,1449,2490,1522,2502,1596,2509,1672,2512,1748,2509,1822,2502,1895,2490,1966,2474,2036,2453,2104,2428,2169,2399,2233,2366,2294,2330,2352,2290,2408,2246,2461,2199,2511,2149,2558,2096,2601,2040,2642,1982,2678,1921,2711,1857,2740,1792,2765,1724,2786,1655,2802,1583,2814,1510,2821,1436,2824,1360,2821,1284,2814,1210,2802,1137,2786,1066,2765,996,2740,929,2711,863,2678,800,2642,739,2601,680,2558,624,2511,571,2461,521,2408,474,2352,431,2294,391,2233,354,2169,321,2104,292,2036,267,1966,247,1895,230,1822,218,1748,211,1672,209xe" filled="true" fillcolor="#d5583b" stroked="false">
              <v:path arrowok="t"/>
              <v:fill type="solid"/>
            </v:shape>
            <v:shape style="position:absolute;left:956;top:429;width:1516;height:1798" coordorigin="957,430" coordsize="1516,1798" path="m1313,1074l1305,1017,1188,1033,1196,1090,1313,1074xm1338,868l1236,815,1209,867,1311,920,1338,868xm1379,1220l1347,1170,1249,1232,1281,1282,1379,1220xm1448,756l1383,668,1336,703,1400,791,1448,756xm1601,715l1586,612,1530,620,1545,723,1601,715xm1764,1506l1609,1528,1621,1538,1634,1547,1646,1555,1663,1566,1674,1565,1696,1563,1716,1556,1733,1544,1747,1526,1751,1520,1757,1514,1764,1506xm1775,1396l1771,1371,1761,1363,1569,1391,1561,1400,1565,1426,1575,1433,1671,1419,1767,1406,1775,1396xm1780,1468l1777,1441,1767,1434,1584,1460,1575,1470,1579,1496,1590,1503,1680,1490,1773,1477,1780,1468xm1793,638l1738,618,1700,720,1756,741,1793,638xm1856,1012l1852,968,1838,916,1814,870,1780,832,1734,802,1686,784,1638,776,1589,777,1539,788,1464,823,1410,876,1378,941,1369,1015,1384,1093,1395,1121,1409,1147,1426,1172,1443,1196,1483,1246,1503,1273,1521,1301,1534,1331,1543,1364,1600,1355,1599,1350,1599,1345,1586,1307,1579,1291,1572,1275,1555,1245,1535,1217,1492,1163,1474,1140,1459,1116,1445,1090,1435,1063,1427,1006,1436,953,1461,906,1504,868,1533,852,1564,841,1595,836,1628,834,1696,849,1750,887,1786,942,1798,1011,1795,1043,1788,1073,1779,1103,1768,1132,1755,1162,1743,1192,1732,1223,1724,1255,1721,1276,1720,1296,1720,1317,1722,1338,1778,1330,1778,1290,1785,1251,1798,1214,1829,1138,1843,1097,1852,1055,1856,1012xm1961,760l1920,717,1837,797,1877,840,1961,760xm2023,1122l1912,1094,1898,1151,2009,1179,2023,1122xm2036,970l2028,914,1910,930,1918,987,2036,970xm2472,1595l2470,1565,2418,1363,2418,1589,2256,1589,2256,1642,2256,1686,2256,1744,2256,1794,2257,1843,2249,1888,2227,1921,2193,1942,2153,1948,2072,1947,1991,1947,1830,1947,1805,1947,1805,2001,1932,2001,1966,2171,1257,2171,1257,2138,1257,2071,1254,1992,1249,1913,1240,1835,1227,1758,1210,1681,1187,1605,1164,1539,1138,1475,1111,1410,1084,1346,1070,1313,1056,1280,1041,1247,1028,1214,1022,1194,1017,1173,1014,1153,1013,1132,1016,1046,1028,966,1049,891,1079,822,1118,757,1165,698,1221,644,1285,594,1358,551,1424,521,1492,500,1562,488,1634,484,1707,488,1791,501,1868,523,1939,555,2003,596,2061,645,2113,703,2160,769,2201,842,2233,915,2260,990,2283,1066,2304,1143,2325,1228,2348,1314,2392,1484,2415,1574,2416,1580,2418,1589,2418,1363,2393,1267,2374,1192,2355,1118,2335,1043,2315,973,2290,904,2261,837,2227,772,2188,710,2140,649,2088,596,2031,550,1969,511,1914,484,1903,479,1832,456,1756,440,1680,430,1631,430,1595,433,1554,437,1534,439,1515,442,1437,462,1365,488,1298,521,1237,560,1180,606,1129,658,1084,717,1043,782,1008,853,978,936,960,1021,957,1107,969,1194,981,1235,995,1274,1012,1314,1029,1352,1061,1424,1091,1496,1118,1569,1143,1643,1164,1718,1180,1794,1191,1872,1199,1961,1203,2050,1204,2138,1199,2227,2031,2227,2020,2171,1987,2002,2009,2002,2085,2002,2145,2002,2162,2002,2215,1992,2259,1965,2272,1948,2290,1924,2305,1874,2307,1830,2307,1794,2307,1643,2316,1642,2323,1642,2356,1642,2392,1642,2405,1642,2412,1642,2442,1636,2462,1620,2472,1595xe" filled="true" fillcolor="#ffffff" stroked="false">
              <v:path arrowok="t"/>
              <v:fill type="solid"/>
            </v:shape>
            <v:line style="position:absolute" from="3135,978" to="10355,978" stroked="true" strokeweight="1pt" strokecolor="#ffffff">
              <v:stroke dashstyle="solid"/>
            </v:line>
            <v:shape style="position:absolute;left:520;top:208;width:10142;height:2304" type="#_x0000_t202" filled="false" stroked="false">
              <v:textbox inset="0,0,0,0">
                <w:txbxContent>
                  <w:p>
                    <w:pPr>
                      <w:spacing w:before="309"/>
                      <w:ind w:left="2614" w:right="0" w:firstLine="0"/>
                      <w:jc w:val="left"/>
                      <w:rPr>
                        <w:rFonts w:ascii="Avenir"/>
                        <w:b/>
                        <w:sz w:val="28"/>
                      </w:rPr>
                    </w:pPr>
                    <w:r>
                      <w:rPr>
                        <w:rFonts w:ascii="Avenir"/>
                        <w:b/>
                        <w:color w:val="FFFFFF"/>
                        <w:sz w:val="28"/>
                      </w:rPr>
                      <w:t>DID YOU KNOW?</w:t>
                    </w:r>
                  </w:p>
                  <w:p>
                    <w:pPr>
                      <w:spacing w:line="218" w:lineRule="auto" w:before="245"/>
                      <w:ind w:left="2614" w:right="587" w:firstLine="0"/>
                      <w:jc w:val="left"/>
                      <w:rPr>
                        <w:sz w:val="13"/>
                      </w:rPr>
                    </w:pPr>
                    <w:r>
                      <w:rPr>
                        <w:color w:val="FFFFFF"/>
                        <w:spacing w:val="-3"/>
                        <w:sz w:val="22"/>
                      </w:rPr>
                      <w:t>“Participation </w:t>
                    </w:r>
                    <w:r>
                      <w:rPr>
                        <w:color w:val="FFFFFF"/>
                        <w:sz w:val="22"/>
                      </w:rPr>
                      <w:t>may be </w:t>
                    </w:r>
                    <w:r>
                      <w:rPr>
                        <w:color w:val="FFFFFF"/>
                        <w:spacing w:val="-3"/>
                        <w:sz w:val="22"/>
                      </w:rPr>
                      <w:t>imperfect, </w:t>
                    </w:r>
                    <w:r>
                      <w:rPr>
                        <w:color w:val="FFFFFF"/>
                        <w:sz w:val="22"/>
                      </w:rPr>
                      <w:t>may </w:t>
                    </w:r>
                    <w:r>
                      <w:rPr>
                        <w:color w:val="FFFFFF"/>
                        <w:spacing w:val="-3"/>
                        <w:sz w:val="22"/>
                      </w:rPr>
                      <w:t>have </w:t>
                    </w:r>
                    <w:r>
                      <w:rPr>
                        <w:color w:val="FFFFFF"/>
                        <w:sz w:val="22"/>
                      </w:rPr>
                      <w:t>its </w:t>
                    </w:r>
                    <w:r>
                      <w:rPr>
                        <w:color w:val="FFFFFF"/>
                        <w:spacing w:val="-3"/>
                        <w:sz w:val="22"/>
                      </w:rPr>
                      <w:t>drawbacks, </w:t>
                    </w:r>
                    <w:r>
                      <w:rPr>
                        <w:color w:val="FFFFFF"/>
                        <w:sz w:val="22"/>
                      </w:rPr>
                      <w:t>but </w:t>
                    </w:r>
                    <w:r>
                      <w:rPr>
                        <w:color w:val="FFFFFF"/>
                        <w:spacing w:val="-3"/>
                        <w:sz w:val="22"/>
                      </w:rPr>
                      <w:t>still be better…than doing without </w:t>
                    </w:r>
                    <w:r>
                      <w:rPr>
                        <w:color w:val="FFFFFF"/>
                        <w:sz w:val="22"/>
                      </w:rPr>
                      <w:t>it. The </w:t>
                    </w:r>
                    <w:r>
                      <w:rPr>
                        <w:color w:val="FFFFFF"/>
                        <w:spacing w:val="-4"/>
                        <w:sz w:val="22"/>
                      </w:rPr>
                      <w:t>problem </w:t>
                    </w:r>
                    <w:r>
                      <w:rPr>
                        <w:color w:val="FFFFFF"/>
                        <w:sz w:val="22"/>
                      </w:rPr>
                      <w:t>is not </w:t>
                    </w:r>
                    <w:r>
                      <w:rPr>
                        <w:color w:val="FFFFFF"/>
                        <w:spacing w:val="-3"/>
                        <w:sz w:val="22"/>
                      </w:rPr>
                      <w:t>simply </w:t>
                    </w:r>
                    <w:r>
                      <w:rPr>
                        <w:color w:val="FFFFFF"/>
                        <w:sz w:val="22"/>
                      </w:rPr>
                      <w:t>who is </w:t>
                    </w:r>
                    <w:r>
                      <w:rPr>
                        <w:color w:val="FFFFFF"/>
                        <w:spacing w:val="-4"/>
                        <w:sz w:val="22"/>
                      </w:rPr>
                      <w:t>affected </w:t>
                    </w:r>
                    <w:r>
                      <w:rPr>
                        <w:color w:val="FFFFFF"/>
                        <w:sz w:val="22"/>
                      </w:rPr>
                      <w:t>by </w:t>
                    </w:r>
                    <w:r>
                      <w:rPr>
                        <w:color w:val="FFFFFF"/>
                        <w:spacing w:val="-3"/>
                        <w:sz w:val="22"/>
                      </w:rPr>
                      <w:t>participation </w:t>
                    </w:r>
                    <w:r>
                      <w:rPr>
                        <w:color w:val="FFFFFF"/>
                        <w:sz w:val="22"/>
                      </w:rPr>
                      <w:t>and</w:t>
                    </w:r>
                    <w:r>
                      <w:rPr>
                        <w:color w:val="FFFFFF"/>
                        <w:spacing w:val="-6"/>
                        <w:sz w:val="22"/>
                      </w:rPr>
                      <w:t> how, </w:t>
                    </w:r>
                    <w:r>
                      <w:rPr>
                        <w:color w:val="FFFFFF"/>
                        <w:sz w:val="22"/>
                      </w:rPr>
                      <w:t>but </w:t>
                    </w:r>
                    <w:r>
                      <w:rPr>
                        <w:color w:val="FFFFFF"/>
                        <w:spacing w:val="-3"/>
                        <w:sz w:val="22"/>
                      </w:rPr>
                      <w:t>also </w:t>
                    </w:r>
                    <w:r>
                      <w:rPr>
                        <w:color w:val="FFFFFF"/>
                        <w:sz w:val="22"/>
                      </w:rPr>
                      <w:t>who is </w:t>
                    </w:r>
                    <w:r>
                      <w:rPr>
                        <w:color w:val="FFFFFF"/>
                        <w:spacing w:val="-4"/>
                        <w:sz w:val="22"/>
                      </w:rPr>
                      <w:t>affected </w:t>
                    </w:r>
                    <w:r>
                      <w:rPr>
                        <w:color w:val="FFFFFF"/>
                        <w:sz w:val="22"/>
                      </w:rPr>
                      <w:t>by its </w:t>
                    </w:r>
                    <w:r>
                      <w:rPr>
                        <w:color w:val="FFFFFF"/>
                        <w:spacing w:val="-3"/>
                        <w:sz w:val="22"/>
                      </w:rPr>
                      <w:t>absence…”</w:t>
                    </w:r>
                    <w:r>
                      <w:rPr>
                        <w:color w:val="FFFFFF"/>
                        <w:spacing w:val="-3"/>
                        <w:position w:val="7"/>
                        <w:sz w:val="13"/>
                      </w:rPr>
                      <w:t>*</w:t>
                    </w:r>
                  </w:p>
                  <w:p>
                    <w:pPr>
                      <w:spacing w:before="156"/>
                      <w:ind w:left="2614" w:right="0" w:firstLine="0"/>
                      <w:jc w:val="left"/>
                      <w:rPr>
                        <w:sz w:val="14"/>
                      </w:rPr>
                    </w:pPr>
                    <w:r>
                      <w:rPr>
                        <w:color w:val="FFFFFF"/>
                        <w:sz w:val="14"/>
                      </w:rPr>
                      <w:t>* Richardson, A (1983) </w:t>
                    </w:r>
                    <w:r>
                      <w:rPr>
                        <w:rFonts w:ascii="Avenir-BookOblique"/>
                        <w:i/>
                        <w:color w:val="FFFFFF"/>
                        <w:sz w:val="14"/>
                      </w:rPr>
                      <w:t>Participation</w:t>
                    </w:r>
                    <w:r>
                      <w:rPr>
                        <w:color w:val="FFFFFF"/>
                        <w:sz w:val="14"/>
                      </w:rPr>
                      <w:t>. Concepts in Social Policy 1, London: Routledge and Kegan Paul</w:t>
                    </w:r>
                  </w:p>
                </w:txbxContent>
              </v:textbox>
              <w10:wrap type="none"/>
            </v:shape>
            <w10:wrap type="topAndBottom"/>
          </v:group>
        </w:pict>
      </w:r>
    </w:p>
    <w:p>
      <w:pPr>
        <w:spacing w:after="0"/>
        <w:rPr>
          <w:sz w:val="12"/>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10080" filled="true" fillcolor="#3b957d" stroked="false">
            <v:fill type="solid"/>
            <w10:wrap type="none"/>
          </v:rect>
        </w:pict>
      </w:r>
    </w:p>
    <w:p>
      <w:pPr>
        <w:pStyle w:val="BodyText"/>
        <w:spacing w:before="6"/>
      </w:pPr>
    </w:p>
    <w:p>
      <w:pPr>
        <w:tabs>
          <w:tab w:pos="7398" w:val="left" w:leader="none"/>
        </w:tabs>
        <w:spacing w:before="100"/>
        <w:ind w:left="927" w:right="0" w:firstLine="0"/>
        <w:jc w:val="left"/>
        <w:rPr>
          <w:sz w:val="16"/>
        </w:rPr>
      </w:pPr>
      <w:r>
        <w:rPr>
          <w:color w:val="231F20"/>
          <w:sz w:val="16"/>
        </w:rPr>
        <w:t>40</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line="216" w:lineRule="auto" w:before="0"/>
        <w:ind w:left="1667" w:right="744" w:firstLine="0"/>
        <w:jc w:val="center"/>
        <w:rPr>
          <w:sz w:val="20"/>
        </w:rPr>
      </w:pPr>
      <w:r>
        <w:rPr/>
        <w:pict>
          <v:group style="position:absolute;margin-left:69.732201pt;margin-top:-148.508087pt;width:496.2pt;height:359.2pt;mso-position-horizontal-relative:page;mso-position-vertical-relative:paragraph;z-index:-17709568" coordorigin="1395,-2970" coordsize="9924,7184">
            <v:rect style="position:absolute;left:1609;top:-2783;width:9663;height:6761" filled="true" fillcolor="#231f20" stroked="false">
              <v:fill opacity="26214f" type="solid"/>
            </v:rect>
            <v:rect style="position:absolute;left:1582;top:-2810;width:9454;height:6553" filled="true" fillcolor="#fff7ef" stroked="false">
              <v:fill type="solid"/>
            </v:rect>
            <v:rect style="position:absolute;left:1582;top:-2810;width:9454;height:6553" filled="false" stroked="true" strokeweight=".237pt" strokecolor="#231f20">
              <v:stroke dashstyle="solid"/>
            </v:rect>
            <v:rect style="position:absolute;left:1396;top:-2935;width:1469;height:1469" filled="true" fillcolor="#231f20" stroked="false">
              <v:fill opacity="26214f" type="solid"/>
            </v:rect>
            <v:shape style="position:absolute;left:1394;top:-2971;width:9924;height:7184" coordorigin="1395,-2970" coordsize="9924,7184" path="m2858,-2970l1395,-2970,1395,-1520,2858,-2970xm11318,2616l9720,4214,11318,4214,11318,2616xe" filled="true" fillcolor="#ffffff" stroked="false">
              <v:path arrowok="t"/>
              <v:fill type="solid"/>
            </v:shape>
            <v:shape style="position:absolute;left:3888;top:-2355;width:5653;height:1886" type="#_x0000_t75" stroked="false">
              <v:imagedata r:id="rId46" o:title=""/>
            </v:shape>
            <w10:wrap type="none"/>
          </v:group>
        </w:pict>
      </w:r>
      <w:r>
        <w:rPr/>
        <w:pict>
          <v:group style="position:absolute;margin-left:69.732201pt;margin-top:217.691116pt;width:496.2pt;height:359.2pt;mso-position-horizontal-relative:page;mso-position-vertical-relative:paragraph;z-index:-17709056" coordorigin="1395,4354" coordsize="9924,7184">
            <v:rect style="position:absolute;left:1609;top:4541;width:9663;height:6761" filled="true" fillcolor="#231f20" stroked="false">
              <v:fill opacity="26214f" type="solid"/>
            </v:rect>
            <v:rect style="position:absolute;left:1582;top:4514;width:9454;height:6553" filled="true" fillcolor="#fff7ef" stroked="false">
              <v:fill type="solid"/>
            </v:rect>
            <v:rect style="position:absolute;left:1582;top:4514;width:9454;height:6553" filled="false" stroked="true" strokeweight=".237pt" strokecolor="#231f20">
              <v:stroke dashstyle="solid"/>
            </v:rect>
            <v:rect style="position:absolute;left:1396;top:4389;width:1469;height:1469" filled="true" fillcolor="#231f20" stroked="false">
              <v:fill opacity="26214f" type="solid"/>
            </v:rect>
            <v:shape style="position:absolute;left:1394;top:4353;width:9924;height:7184" coordorigin="1395,4354" coordsize="9924,7184" path="m2858,4354l1395,4354,1395,5804,2858,4354xm11318,9940l9720,11538,11318,11538,11318,9940xe" filled="true" fillcolor="#ffffff" stroked="false">
              <v:path arrowok="t"/>
              <v:fill type="solid"/>
            </v:shape>
            <v:shape style="position:absolute;left:2240;top:5127;width:3698;height:1357" type="#_x0000_t75" stroked="false">
              <v:imagedata r:id="rId47" o:title=""/>
            </v:shape>
            <v:shape style="position:absolute;left:6321;top:5451;width:4027;height:641" type="#_x0000_t75" stroked="false">
              <v:imagedata r:id="rId48" o:title=""/>
            </v:shape>
            <w10:wrap type="none"/>
          </v:group>
        </w:pict>
      </w:r>
      <w:r>
        <w:rPr/>
        <w:pict>
          <v:shape style="position:absolute;margin-left:7.0315pt;margin-top:-60.884682pt;width:15.7pt;height:477.8pt;mso-position-horizontal-relative:page;mso-position-vertical-relative:paragraph;z-index:-17708544"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rFonts w:ascii="Avenir" w:hAnsi="Avenir"/>
          <w:b/>
          <w:color w:val="231F20"/>
          <w:sz w:val="20"/>
        </w:rPr>
        <w:t>Cwm Taf </w:t>
      </w:r>
      <w:r>
        <w:rPr>
          <w:color w:val="231F20"/>
          <w:sz w:val="20"/>
        </w:rPr>
        <w:t>combined a number of engagement activities and consultation with the people who use services throughout the year - plus professionals - and hosted events during Safeguarding Week 13-19 November 2017 e.g. “Events specifically for children and young people included safer alcohol use, homelessness, mental health, healthy relationships, Lesbian, Gay Bisexual Transgender and respect.” Thirty young people participated in a theater workshop exploring grooming and sexual exploitation; the Children’s Commissioner contributed to a student conference about “How to cope with everyday life;” and a “Wellbeing day” was hosted for members of the public, service users, carers and professionals. The Board’s website contains information “to raise awareness of safeguarding;” the Child/ Adult Practice Review process involves individuals and families and takes account of their feedback; and the Multi-Agency Safeguarding Hub’s “annual consultation survey” endorses its continuation. A survey concerning the Deprivation of Liberty Safeguards resulted in “an </w:t>
      </w:r>
      <w:r>
        <w:rPr>
          <w:rFonts w:ascii="Avenir" w:hAnsi="Avenir"/>
          <w:i/>
          <w:color w:val="231F20"/>
          <w:sz w:val="20"/>
        </w:rPr>
        <w:t>active offer </w:t>
      </w:r>
      <w:r>
        <w:rPr>
          <w:color w:val="231F20"/>
          <w:sz w:val="20"/>
        </w:rPr>
        <w:t>approach to advocacy support for advocates and relatives assisting adults who do not have capacity.”</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5"/>
        </w:rPr>
      </w:pPr>
    </w:p>
    <w:p>
      <w:pPr>
        <w:pStyle w:val="BodyText"/>
        <w:spacing w:line="228" w:lineRule="auto"/>
        <w:ind w:left="1730" w:right="807"/>
        <w:jc w:val="center"/>
      </w:pPr>
      <w:r>
        <w:rPr>
          <w:rFonts w:ascii="Avenir" w:hAnsi="Avenir"/>
          <w:b/>
          <w:color w:val="231F20"/>
          <w:spacing w:val="-3"/>
        </w:rPr>
        <w:t>Gwent’s </w:t>
      </w:r>
      <w:r>
        <w:rPr>
          <w:color w:val="231F20"/>
        </w:rPr>
        <w:t>Engagement and Communication Group made links with existing groups  and forums to ensure that it involved “the most relevant group of individuals with </w:t>
      </w:r>
      <w:r>
        <w:rPr>
          <w:color w:val="231F20"/>
          <w:spacing w:val="-5"/>
        </w:rPr>
        <w:t>each </w:t>
      </w:r>
      <w:r>
        <w:rPr>
          <w:color w:val="231F20"/>
        </w:rPr>
        <w:t>project we undertake.” For example, a parenting network group was invited to shape “the content of the website pages for parents and carers;” and “the website </w:t>
      </w:r>
      <w:r>
        <w:rPr>
          <w:color w:val="231F20"/>
          <w:spacing w:val="-7"/>
        </w:rPr>
        <w:t>Task </w:t>
      </w:r>
      <w:r>
        <w:rPr>
          <w:color w:val="231F20"/>
        </w:rPr>
        <w:t>and Finish group…consulted with professionals and volunteers at various levels about content.” A </w:t>
      </w:r>
      <w:r>
        <w:rPr>
          <w:rFonts w:ascii="Avenir" w:hAnsi="Avenir"/>
          <w:i/>
          <w:color w:val="231F20"/>
        </w:rPr>
        <w:t>Go Girls </w:t>
      </w:r>
      <w:r>
        <w:rPr>
          <w:color w:val="231F20"/>
        </w:rPr>
        <w:t>and </w:t>
      </w:r>
      <w:r>
        <w:rPr>
          <w:rFonts w:ascii="Avenir" w:hAnsi="Avenir"/>
          <w:i/>
          <w:color w:val="231F20"/>
        </w:rPr>
        <w:t>Brothers </w:t>
      </w:r>
      <w:r>
        <w:rPr>
          <w:color w:val="231F20"/>
        </w:rPr>
        <w:t>interactive drama production about child</w:t>
      </w:r>
      <w:r>
        <w:rPr>
          <w:color w:val="231F20"/>
          <w:spacing w:val="-9"/>
        </w:rPr>
        <w:t> </w:t>
      </w:r>
      <w:r>
        <w:rPr>
          <w:color w:val="231F20"/>
        </w:rPr>
        <w:t>sexual</w:t>
      </w:r>
    </w:p>
    <w:p>
      <w:pPr>
        <w:pStyle w:val="BodyText"/>
        <w:spacing w:line="230" w:lineRule="auto" w:before="8"/>
        <w:ind w:left="1640" w:right="717"/>
        <w:jc w:val="center"/>
      </w:pPr>
      <w:r>
        <w:rPr>
          <w:color w:val="231F20"/>
        </w:rPr>
        <w:t>exploitation was “rolled out” in schools; and “information from Gwent Drug and</w:t>
      </w:r>
      <w:r>
        <w:rPr>
          <w:color w:val="231F20"/>
          <w:spacing w:val="-17"/>
        </w:rPr>
        <w:t> </w:t>
      </w:r>
      <w:r>
        <w:rPr>
          <w:color w:val="231F20"/>
        </w:rPr>
        <w:t>Alcohol Service [was used] to inform the production of our Quality Assurance Framework.” The Board has “links” with the regional “provider forum,” Registered Social Landlords and “a group of survivors through collaboration with Violence Against Women, Domestic Abuse and Sexual Violence. Also, it was “project managing a group of service users to work with advocacy providers” and families are involved in reviewing</w:t>
      </w:r>
      <w:r>
        <w:rPr>
          <w:color w:val="231F20"/>
          <w:spacing w:val="-10"/>
        </w:rPr>
        <w:t> </w:t>
      </w:r>
      <w:r>
        <w:rPr>
          <w:color w:val="231F20"/>
        </w:rPr>
        <w:t>processes.</w:t>
      </w:r>
    </w:p>
    <w:p>
      <w:pPr>
        <w:spacing w:after="0" w:line="230" w:lineRule="auto"/>
        <w:jc w:val="cente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68928" filled="true" fillcolor="#3b957d" stroked="false">
            <v:fill type="solid"/>
            <w10:wrap type="none"/>
          </v:rect>
        </w:pict>
      </w:r>
      <w:r>
        <w:rPr/>
        <w:pict>
          <v:shape style="position:absolute;margin-left:573.765198pt;margin-top:182.052719pt;width:15.7pt;height:477.8pt;mso-position-horizontal-relative:page;mso-position-vertical-relative:page;z-index:15869952"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41</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216" w:lineRule="auto" w:before="176"/>
        <w:ind w:left="1208" w:right="1419" w:hanging="1"/>
        <w:jc w:val="center"/>
        <w:rPr>
          <w:sz w:val="19"/>
        </w:rPr>
      </w:pPr>
      <w:r>
        <w:rPr/>
        <w:pict>
          <v:group style="position:absolute;margin-left:41.3857pt;margin-top:-139.658081pt;width:496.2pt;height:725.4pt;mso-position-horizontal-relative:page;mso-position-vertical-relative:paragraph;z-index:-17707520" coordorigin="828,-2793" coordsize="9924,14508">
            <v:rect style="position:absolute;left:1042;top:-2606;width:9663;height:14091" filled="true" fillcolor="#231f20" stroked="false">
              <v:fill opacity="26214f" type="solid"/>
            </v:rect>
            <v:rect style="position:absolute;left:1015;top:-2633;width:9454;height:13877" filled="true" fillcolor="#fff7ef" stroked="false">
              <v:fill type="solid"/>
            </v:rect>
            <v:rect style="position:absolute;left:1015;top:-2633;width:9454;height:13877" filled="false" stroked="true" strokeweight=".237pt" strokecolor="#231f20">
              <v:stroke dashstyle="solid"/>
            </v:rect>
            <v:rect style="position:absolute;left:829;top:-2758;width:1469;height:1469" filled="true" fillcolor="#231f20" stroked="false">
              <v:fill opacity="26214f" type="solid"/>
            </v:rect>
            <v:shape style="position:absolute;left:827;top:-2794;width:9924;height:14508" coordorigin="828,-2793" coordsize="9924,14508" path="m2291,-2793l828,-2793,828,-1343,2291,-2793xm10751,10117l9153,11715,10751,11715,10751,10117xe" filled="true" fillcolor="#ffffff" stroked="false">
              <v:path arrowok="t"/>
              <v:fill type="solid"/>
            </v:shape>
            <v:shape style="position:absolute;left:4698;top:-2278;width:2125;height:2150" type="#_x0000_t75" stroked="false">
              <v:imagedata r:id="rId49" o:title=""/>
            </v:shape>
            <w10:wrap type="none"/>
          </v:group>
        </w:pict>
      </w:r>
      <w:r>
        <w:rPr>
          <w:rFonts w:ascii="Avenir" w:hAnsi="Avenir"/>
          <w:b/>
          <w:color w:val="231F20"/>
          <w:sz w:val="19"/>
        </w:rPr>
        <w:t>Mid and West Wales’ </w:t>
      </w:r>
      <w:r>
        <w:rPr>
          <w:color w:val="231F20"/>
          <w:sz w:val="19"/>
        </w:rPr>
        <w:t>Junior Regional Safeguarding Board attended an Executive Board meeting during July 2017 at which it discussed the importance of strengthening the Personal and Social Education part of the school curriculum and beefing up important life skills such as how to balance a budget. The Junior Board made a plea to shift the focus of education from the stress of</w:t>
      </w:r>
      <w:r>
        <w:rPr>
          <w:color w:val="231F20"/>
          <w:spacing w:val="-28"/>
          <w:sz w:val="19"/>
        </w:rPr>
        <w:t> </w:t>
      </w:r>
      <w:r>
        <w:rPr>
          <w:color w:val="231F20"/>
          <w:sz w:val="19"/>
        </w:rPr>
        <w:t>achieving grades to opening doors. The young people made a bid for anti-bullying to be a continuing theme rather than a topic for Safeguarding Week. The rawness of bullying is familiar to Carmarthenshire’s </w:t>
      </w:r>
      <w:r>
        <w:rPr>
          <w:color w:val="231F20"/>
          <w:spacing w:val="-4"/>
          <w:sz w:val="19"/>
        </w:rPr>
        <w:t>Youth </w:t>
      </w:r>
      <w:r>
        <w:rPr>
          <w:color w:val="231F20"/>
          <w:sz w:val="19"/>
        </w:rPr>
        <w:t>Council. It launched a mental health pledge arising from the experience of teenager Harriet Alsop-Bingham whose experience was so extreme that she began to self-harm. Her</w:t>
      </w:r>
      <w:r>
        <w:rPr>
          <w:color w:val="231F20"/>
          <w:spacing w:val="-1"/>
          <w:sz w:val="19"/>
        </w:rPr>
        <w:t> </w:t>
      </w:r>
      <w:r>
        <w:rPr>
          <w:color w:val="231F20"/>
          <w:sz w:val="19"/>
        </w:rPr>
        <w:t>experiential</w:t>
      </w:r>
    </w:p>
    <w:p>
      <w:pPr>
        <w:spacing w:line="218" w:lineRule="auto" w:before="2"/>
        <w:ind w:left="1075" w:right="1286" w:firstLine="0"/>
        <w:jc w:val="center"/>
        <w:rPr>
          <w:sz w:val="19"/>
        </w:rPr>
      </w:pPr>
      <w:r>
        <w:rPr>
          <w:color w:val="231F20"/>
          <w:sz w:val="19"/>
        </w:rPr>
        <w:t>knowledge that starting a conversation can be transforming encouraged the Youth Council to launch #StoriHarriet. This led to a youth conference about mental health, </w:t>
      </w:r>
      <w:r>
        <w:rPr>
          <w:rFonts w:ascii="Avenir" w:hAnsi="Avenir"/>
          <w:i/>
          <w:color w:val="231F20"/>
          <w:sz w:val="19"/>
        </w:rPr>
        <w:t>It’s a bad day not a bad life. </w:t>
      </w:r>
      <w:r>
        <w:rPr>
          <w:color w:val="231F20"/>
          <w:sz w:val="19"/>
        </w:rPr>
        <w:t>Harriet won Carmarthenshire Radio’s Child of Courage Award in 2017. Mental health was a topic which Pembrokeshire’s Junior Safeguardians also identified as important in its consultation with over 3000 young people.</w:t>
      </w:r>
    </w:p>
    <w:p>
      <w:pPr>
        <w:pStyle w:val="BodyText"/>
        <w:rPr>
          <w:sz w:val="21"/>
        </w:rPr>
      </w:pPr>
    </w:p>
    <w:p>
      <w:pPr>
        <w:spacing w:line="218" w:lineRule="auto" w:before="0"/>
        <w:ind w:left="1302" w:right="1513" w:firstLine="0"/>
        <w:jc w:val="center"/>
        <w:rPr>
          <w:sz w:val="19"/>
        </w:rPr>
      </w:pPr>
      <w:r>
        <w:rPr>
          <w:color w:val="231F20"/>
          <w:sz w:val="19"/>
        </w:rPr>
        <w:t>The ideas of the Junior Safeguarding Board were shared with the regional and national Directors of Education in Wales – and during February 2018, the Junior Board was advised that they had influenced the national work on the new curriculum. The Junior Board highlighted the topic of</w:t>
      </w:r>
    </w:p>
    <w:p>
      <w:pPr>
        <w:spacing w:line="218" w:lineRule="auto" w:before="0"/>
        <w:ind w:left="1091" w:right="1303" w:firstLine="0"/>
        <w:jc w:val="center"/>
        <w:rPr>
          <w:sz w:val="19"/>
        </w:rPr>
      </w:pPr>
      <w:r>
        <w:rPr>
          <w:color w:val="231F20"/>
          <w:sz w:val="19"/>
        </w:rPr>
        <w:t>substance misuse and explained that they favoured facts over “hysterical propaganda” – calling the attention of the Regional Board and educators to the presentation of public health matters to young people. The Junior Board was invited to comment on the Annual Plan 2018-19. The young people explained that they wanted their own plans to be connected to the Regional </w:t>
      </w:r>
      <w:r>
        <w:rPr>
          <w:color w:val="231F20"/>
          <w:spacing w:val="-4"/>
          <w:sz w:val="19"/>
        </w:rPr>
        <w:t>Board’s </w:t>
      </w:r>
      <w:r>
        <w:rPr>
          <w:color w:val="231F20"/>
          <w:sz w:val="19"/>
        </w:rPr>
        <w:t>plans so that both Boards could share priorities. One Junior Safeguardian, Bethany Roberts, is a member of the UK </w:t>
      </w:r>
      <w:r>
        <w:rPr>
          <w:color w:val="231F20"/>
          <w:spacing w:val="-4"/>
          <w:sz w:val="19"/>
        </w:rPr>
        <w:t>Youth </w:t>
      </w:r>
      <w:r>
        <w:rPr>
          <w:color w:val="231F20"/>
          <w:sz w:val="19"/>
        </w:rPr>
        <w:t>Parliament and she won Radio Pembrokeshire’s</w:t>
      </w:r>
      <w:r>
        <w:rPr>
          <w:color w:val="231F20"/>
          <w:spacing w:val="-4"/>
          <w:sz w:val="19"/>
        </w:rPr>
        <w:t> Young </w:t>
      </w:r>
      <w:r>
        <w:rPr>
          <w:color w:val="231F20"/>
          <w:sz w:val="19"/>
        </w:rPr>
        <w:t>Achiever, Volunteer of the </w:t>
      </w:r>
      <w:r>
        <w:rPr>
          <w:color w:val="231F20"/>
          <w:spacing w:val="-5"/>
          <w:sz w:val="19"/>
        </w:rPr>
        <w:t>Year </w:t>
      </w:r>
      <w:r>
        <w:rPr>
          <w:color w:val="231F20"/>
          <w:sz w:val="19"/>
        </w:rPr>
        <w:t>award</w:t>
      </w:r>
      <w:r>
        <w:rPr>
          <w:color w:val="231F20"/>
          <w:spacing w:val="-4"/>
          <w:sz w:val="19"/>
        </w:rPr>
        <w:t> for </w:t>
      </w:r>
      <w:r>
        <w:rPr>
          <w:color w:val="231F20"/>
          <w:sz w:val="19"/>
        </w:rPr>
        <w:t>her commitment to young people and </w:t>
      </w:r>
      <w:r>
        <w:rPr>
          <w:color w:val="231F20"/>
          <w:spacing w:val="-3"/>
          <w:sz w:val="19"/>
        </w:rPr>
        <w:t>children’s</w:t>
      </w:r>
      <w:r>
        <w:rPr>
          <w:color w:val="231F20"/>
          <w:sz w:val="19"/>
        </w:rPr>
        <w:t> rights.</w:t>
      </w:r>
    </w:p>
    <w:p>
      <w:pPr>
        <w:pStyle w:val="BodyText"/>
        <w:spacing w:before="7"/>
        <w:rPr>
          <w:sz w:val="20"/>
        </w:rPr>
      </w:pPr>
    </w:p>
    <w:p>
      <w:pPr>
        <w:spacing w:line="218" w:lineRule="auto" w:before="0"/>
        <w:ind w:left="1075" w:right="1287" w:firstLine="0"/>
        <w:jc w:val="center"/>
        <w:rPr>
          <w:sz w:val="19"/>
        </w:rPr>
      </w:pPr>
      <w:r>
        <w:rPr>
          <w:color w:val="231F20"/>
          <w:sz w:val="19"/>
        </w:rPr>
        <w:t>Powys’ “Eat Carrots Be Safe from Elephants” and the Junior Safeguardians advised the Regional Board that they wanted the Boards’ website to reflect the interests of young people. This resulted in dedicated pages, a Facebook page and Twitter accounts “with much interaction.” The “Eat carrots…” group also sought the inclusion of Lesbian, Gay, Bisexual, Transgender, Queer Questioning and other identities (LGBTQ+) in sex education and understanding the Child Protection and Court process for example. Ceredigion’s “Ser Saff” and Youth Service held a safeguarding poster design competition which attracted 50 entries. These focused on cyber safety, bullying and sexting – with the poster</w:t>
      </w:r>
    </w:p>
    <w:p>
      <w:pPr>
        <w:spacing w:line="218" w:lineRule="auto" w:before="0"/>
        <w:ind w:left="1238" w:right="1449" w:hanging="1"/>
        <w:jc w:val="center"/>
        <w:rPr>
          <w:sz w:val="19"/>
        </w:rPr>
      </w:pPr>
      <w:r>
        <w:rPr>
          <w:color w:val="231F20"/>
          <w:sz w:val="19"/>
        </w:rPr>
        <w:t>and winning strapline </w:t>
      </w:r>
      <w:r>
        <w:rPr>
          <w:rFonts w:ascii="Avenir" w:hAnsi="Avenir"/>
          <w:i/>
          <w:color w:val="231F20"/>
          <w:sz w:val="19"/>
        </w:rPr>
        <w:t>Don’t be mean behind the screen </w:t>
      </w:r>
      <w:r>
        <w:rPr>
          <w:color w:val="231F20"/>
          <w:sz w:val="19"/>
        </w:rPr>
        <w:t>designed by </w:t>
      </w:r>
      <w:r>
        <w:rPr>
          <w:color w:val="231F20"/>
          <w:spacing w:val="-5"/>
          <w:sz w:val="19"/>
        </w:rPr>
        <w:t>Tyler </w:t>
      </w:r>
      <w:r>
        <w:rPr>
          <w:color w:val="231F20"/>
          <w:sz w:val="19"/>
        </w:rPr>
        <w:t>from Ysgol Penglais and Penparcau </w:t>
      </w:r>
      <w:r>
        <w:rPr>
          <w:color w:val="231F20"/>
          <w:spacing w:val="-4"/>
          <w:sz w:val="19"/>
        </w:rPr>
        <w:t>Youth </w:t>
      </w:r>
      <w:r>
        <w:rPr>
          <w:color w:val="231F20"/>
          <w:sz w:val="19"/>
        </w:rPr>
        <w:t>Club. </w:t>
      </w:r>
      <w:r>
        <w:rPr>
          <w:color w:val="231F20"/>
          <w:spacing w:val="-3"/>
          <w:sz w:val="19"/>
        </w:rPr>
        <w:t>Ceredigion’s </w:t>
      </w:r>
      <w:r>
        <w:rPr>
          <w:color w:val="231F20"/>
          <w:spacing w:val="-4"/>
          <w:sz w:val="19"/>
        </w:rPr>
        <w:t>Youth </w:t>
      </w:r>
      <w:r>
        <w:rPr>
          <w:color w:val="231F20"/>
          <w:sz w:val="19"/>
        </w:rPr>
        <w:t>Service worked with Aberystwyth University and Ysgol Gyfun Gymunedol Penweddig’s drama department to create a short film about online</w:t>
      </w:r>
      <w:r>
        <w:rPr>
          <w:color w:val="231F20"/>
          <w:spacing w:val="-17"/>
          <w:sz w:val="19"/>
        </w:rPr>
        <w:t> </w:t>
      </w:r>
      <w:r>
        <w:rPr>
          <w:color w:val="231F20"/>
          <w:spacing w:val="-6"/>
          <w:sz w:val="19"/>
        </w:rPr>
        <w:t>safety.</w:t>
      </w:r>
    </w:p>
    <w:p>
      <w:pPr>
        <w:spacing w:line="218" w:lineRule="auto" w:before="0"/>
        <w:ind w:left="1075" w:right="1286" w:firstLine="0"/>
        <w:jc w:val="center"/>
        <w:rPr>
          <w:sz w:val="19"/>
        </w:rPr>
      </w:pPr>
      <w:r>
        <w:rPr>
          <w:color w:val="231F20"/>
          <w:sz w:val="19"/>
        </w:rPr>
        <w:t>It came second in the Welsh Government’s Safer Internet Day 2018 competition. During National Safeguarding Week, Pembrokeshire’s Junior Safeguardians hosted a conference about online abuse and exploitation.</w:t>
      </w:r>
    </w:p>
    <w:p>
      <w:pPr>
        <w:pStyle w:val="BodyText"/>
        <w:spacing w:before="4"/>
        <w:rPr>
          <w:sz w:val="20"/>
        </w:rPr>
      </w:pPr>
    </w:p>
    <w:p>
      <w:pPr>
        <w:spacing w:line="218" w:lineRule="auto" w:before="1"/>
        <w:ind w:left="1157" w:right="1368" w:hanging="1"/>
        <w:jc w:val="center"/>
        <w:rPr>
          <w:sz w:val="19"/>
        </w:rPr>
      </w:pPr>
      <w:r>
        <w:rPr>
          <w:color w:val="231F20"/>
          <w:sz w:val="19"/>
        </w:rPr>
        <w:t>Mid and West Wales hosted focus groups across the region with 56 survivors of sexual violence and abuse. Their experience and ideas fed into its joint strategy in line with the Violence Against Women Domestic Abuse and Sexual Violence Act 2015.</w:t>
      </w:r>
    </w:p>
    <w:p>
      <w:pPr>
        <w:pStyle w:val="BodyText"/>
        <w:spacing w:before="1"/>
        <w:rPr>
          <w:sz w:val="21"/>
        </w:rPr>
      </w:pPr>
    </w:p>
    <w:p>
      <w:pPr>
        <w:spacing w:line="218" w:lineRule="auto" w:before="1"/>
        <w:ind w:left="1075" w:right="1286" w:firstLine="0"/>
        <w:jc w:val="center"/>
        <w:rPr>
          <w:sz w:val="19"/>
        </w:rPr>
      </w:pPr>
      <w:r>
        <w:rPr>
          <w:color w:val="231F20"/>
          <w:sz w:val="19"/>
        </w:rPr>
        <w:t>Finally, the Boards consulted with Pembrokeshire People First “to work towards developing an easy read version of the Annual Plan” – and acknowledged that the participation of adult service users requires attention.</w:t>
      </w:r>
    </w:p>
    <w:p>
      <w:pPr>
        <w:spacing w:after="0" w:line="218" w:lineRule="auto"/>
        <w:jc w:val="center"/>
        <w:rPr>
          <w:sz w:val="19"/>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05472" filled="true" fillcolor="#3b957d" stroked="false">
            <v:fill type="solid"/>
            <w10:wrap type="none"/>
          </v:rect>
        </w:pict>
      </w:r>
      <w:r>
        <w:rPr/>
        <w:pict>
          <v:shape style="position:absolute;margin-left:7.0315pt;margin-top:182.052505pt;width:15.7pt;height:477.8pt;mso-position-horizontal-relative:page;mso-position-vertical-relative:page;z-index:-17704960"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7398" w:val="left" w:leader="none"/>
        </w:tabs>
        <w:spacing w:before="100"/>
        <w:ind w:left="927" w:right="0" w:firstLine="0"/>
        <w:jc w:val="left"/>
        <w:rPr>
          <w:sz w:val="16"/>
        </w:rPr>
      </w:pPr>
      <w:r>
        <w:rPr>
          <w:color w:val="231F20"/>
          <w:sz w:val="16"/>
        </w:rPr>
        <w:t>42</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spacing w:before="7"/>
        <w:rPr>
          <w:sz w:val="25"/>
        </w:rPr>
      </w:pPr>
      <w:r>
        <w:rPr/>
        <w:pict>
          <v:group style="position:absolute;margin-left:89.059998pt;margin-top:18.884399pt;width:445.35pt;height:322.3pt;mso-position-horizontal-relative:page;mso-position-vertical-relative:paragraph;z-index:-15586816;mso-wrap-distance-left:0;mso-wrap-distance-right:0" coordorigin="1781,378" coordsize="8907,6446">
            <v:rect style="position:absolute;left:1972;top:540;width:8676;height:6077" filled="true" fillcolor="#231f20" stroked="false">
              <v:fill opacity="26214f" type="solid"/>
            </v:rect>
            <v:rect style="position:absolute;left:1953;top:522;width:8482;height:5880" filled="true" fillcolor="#fff7ef" stroked="false">
              <v:fill type="solid"/>
            </v:rect>
            <v:rect style="position:absolute;left:1953;top:522;width:8482;height:5880" filled="false" stroked="true" strokeweight=".212pt" strokecolor="#231f20">
              <v:stroke dashstyle="solid"/>
            </v:rect>
            <v:rect style="position:absolute;left:1781;top:403;width:1325;height:1325" filled="true" fillcolor="#231f20" stroked="false">
              <v:fill opacity="26214f" type="solid"/>
            </v:rect>
            <v:shape style="position:absolute;left:1784;top:377;width:8903;height:6446" coordorigin="1785,378" coordsize="8903,6446" path="m3098,378l1785,378,1785,1679,3098,378xm10688,5389l9254,6823,10688,6823,10688,5389xe" filled="true" fillcolor="#ffffff" stroked="false">
              <v:path arrowok="t"/>
              <v:fill type="solid"/>
            </v:shape>
            <v:shape style="position:absolute;left:4186;top:1004;width:4134;height:1952" type="#_x0000_t75" stroked="false">
              <v:imagedata r:id="rId50" o:title=""/>
            </v:shape>
            <v:shape style="position:absolute;left:1781;top:377;width:8907;height:6446"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28" w:lineRule="auto" w:before="207"/>
                      <w:ind w:left="1076" w:right="1042" w:firstLine="0"/>
                      <w:jc w:val="center"/>
                      <w:rPr>
                        <w:sz w:val="22"/>
                      </w:rPr>
                    </w:pPr>
                    <w:r>
                      <w:rPr>
                        <w:rFonts w:ascii="Avenir"/>
                        <w:b/>
                        <w:color w:val="231F20"/>
                        <w:sz w:val="22"/>
                      </w:rPr>
                      <w:t>North Wales </w:t>
                    </w:r>
                    <w:r>
                      <w:rPr>
                        <w:color w:val="231F20"/>
                        <w:sz w:val="22"/>
                      </w:rPr>
                      <w:t>commissioned a drama about child sexual exploitation which was shown in schools across the region and was favourably evaluated. The Region has created an Engagement and Participation subgroup.</w:t>
                    </w:r>
                  </w:p>
                </w:txbxContent>
              </v:textbox>
              <w10:wrap type="none"/>
            </v:shape>
            <w10:wrap type="topAndBottom"/>
          </v:group>
        </w:pict>
      </w:r>
    </w:p>
    <w:p>
      <w:pPr>
        <w:pStyle w:val="BodyText"/>
        <w:rPr>
          <w:sz w:val="20"/>
        </w:rPr>
      </w:pPr>
    </w:p>
    <w:p>
      <w:pPr>
        <w:pStyle w:val="BodyText"/>
        <w:rPr>
          <w:sz w:val="20"/>
        </w:rPr>
      </w:pPr>
    </w:p>
    <w:p>
      <w:pPr>
        <w:pStyle w:val="BodyText"/>
        <w:spacing w:before="11"/>
        <w:rPr>
          <w:sz w:val="24"/>
        </w:rPr>
      </w:pPr>
      <w:r>
        <w:rPr/>
        <w:pict>
          <v:group style="position:absolute;margin-left:89.059998pt;margin-top:18.432899pt;width:445.35pt;height:322.3pt;mso-position-horizontal-relative:page;mso-position-vertical-relative:paragraph;z-index:-15586304;mso-wrap-distance-left:0;mso-wrap-distance-right:0" coordorigin="1781,369" coordsize="8907,6446">
            <v:rect style="position:absolute;left:1972;top:531;width:8676;height:6077" filled="true" fillcolor="#231f20" stroked="false">
              <v:fill opacity="26214f" type="solid"/>
            </v:rect>
            <v:rect style="position:absolute;left:1953;top:513;width:8482;height:5880" filled="true" fillcolor="#fff7ef" stroked="false">
              <v:fill type="solid"/>
            </v:rect>
            <v:rect style="position:absolute;left:1953;top:513;width:8482;height:5880" filled="false" stroked="true" strokeweight=".212pt" strokecolor="#231f20">
              <v:stroke dashstyle="solid"/>
            </v:rect>
            <v:rect style="position:absolute;left:1781;top:394;width:1325;height:1325" filled="true" fillcolor="#231f20" stroked="false">
              <v:fill opacity="26214f" type="solid"/>
            </v:rect>
            <v:shape style="position:absolute;left:1784;top:368;width:8903;height:6446" coordorigin="1785,369" coordsize="8903,6446" path="m3098,369l1785,369,1785,1670,3098,369xm10688,5380l9254,6814,10688,6814,10688,5380xe" filled="true" fillcolor="#ffffff" stroked="false">
              <v:path arrowok="t"/>
              <v:fill type="solid"/>
            </v:shape>
            <v:shape style="position:absolute;left:2954;top:995;width:4134;height:1952" type="#_x0000_t75" stroked="false">
              <v:imagedata r:id="rId51" o:title=""/>
            </v:shape>
            <v:shape style="position:absolute;left:7696;top:1108;width:1968;height:2072" type="#_x0000_t75" stroked="false">
              <v:imagedata r:id="rId52" o:title=""/>
            </v:shape>
            <v:shape style="position:absolute;left:1781;top:368;width:8907;height:6446"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9"/>
                      <w:rPr>
                        <w:sz w:val="31"/>
                      </w:rPr>
                    </w:pPr>
                  </w:p>
                  <w:p>
                    <w:pPr>
                      <w:spacing w:line="228" w:lineRule="auto" w:before="0"/>
                      <w:ind w:left="575" w:right="541" w:firstLine="0"/>
                      <w:jc w:val="center"/>
                      <w:rPr>
                        <w:sz w:val="22"/>
                      </w:rPr>
                    </w:pPr>
                    <w:r>
                      <w:rPr>
                        <w:rFonts w:ascii="Avenir" w:hAnsi="Avenir"/>
                        <w:b/>
                        <w:color w:val="231F20"/>
                        <w:sz w:val="22"/>
                      </w:rPr>
                      <w:t>Western Bay’s </w:t>
                    </w:r>
                    <w:r>
                      <w:rPr>
                        <w:color w:val="231F20"/>
                        <w:sz w:val="22"/>
                      </w:rPr>
                      <w:t>Boards routinely invite people to participate in it work through the engagement of families [who are] subject to Practice Reviews. The Adult Board links with the Citizen’s Panel which identified the need for improvements on our website. The Western Bay Area Planning Board hosted an “engage</w:t>
                    </w:r>
                  </w:p>
                  <w:p>
                    <w:pPr>
                      <w:spacing w:line="230" w:lineRule="auto" w:before="2"/>
                      <w:ind w:left="664" w:right="630" w:firstLine="0"/>
                      <w:jc w:val="center"/>
                      <w:rPr>
                        <w:sz w:val="22"/>
                      </w:rPr>
                    </w:pPr>
                    <w:r>
                      <w:rPr>
                        <w:color w:val="231F20"/>
                        <w:sz w:val="22"/>
                      </w:rPr>
                      <w:t>to empower” event for people who misuse substances, or used to, and have mental health problems. This identified challenges concerning the integration of services and the competency of the workforce for example. The resulting ideas informed the work of the Dual Diagnosis Implementation Group.</w:t>
                    </w:r>
                  </w:p>
                </w:txbxContent>
              </v:textbox>
              <w10:wrap type="none"/>
            </v:shape>
            <w10:wrap type="topAndBottom"/>
          </v:group>
        </w:pict>
      </w:r>
    </w:p>
    <w:p>
      <w:pPr>
        <w:spacing w:after="0"/>
        <w:rPr>
          <w:sz w:val="2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73536" filled="true" fillcolor="#3b957d" stroked="false">
            <v:fill type="solid"/>
            <w10:wrap type="none"/>
          </v:rect>
        </w:pict>
      </w:r>
      <w:r>
        <w:rPr/>
        <w:pict>
          <v:shape style="position:absolute;margin-left:573.765198pt;margin-top:182.052719pt;width:15.7pt;height:477.8pt;mso-position-horizontal-relative:page;mso-position-vertical-relative:page;z-index:15874048"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43</w:t>
      </w:r>
    </w:p>
    <w:p>
      <w:pPr>
        <w:pStyle w:val="BodyText"/>
        <w:rPr>
          <w:sz w:val="48"/>
        </w:rPr>
      </w:pPr>
    </w:p>
    <w:p>
      <w:pPr>
        <w:pStyle w:val="Heading1"/>
        <w:spacing w:line="211" w:lineRule="auto" w:before="400"/>
        <w:ind w:right="734"/>
      </w:pPr>
      <w:r>
        <w:rPr>
          <w:color w:val="3B957D"/>
        </w:rPr>
        <w:t>The number of Adult Protection and Support Orders (APSO) which were applied for in the Safeguarding Boards’ areas and how effective they were</w:t>
      </w:r>
    </w:p>
    <w:p>
      <w:pPr>
        <w:pStyle w:val="BodyText"/>
        <w:spacing w:line="230" w:lineRule="auto" w:before="234"/>
        <w:ind w:left="360" w:right="835"/>
      </w:pPr>
      <w:r>
        <w:rPr>
          <w:color w:val="231F20"/>
        </w:rPr>
        <w:t>For the second </w:t>
      </w:r>
      <w:r>
        <w:rPr>
          <w:color w:val="231F20"/>
          <w:spacing w:val="-5"/>
        </w:rPr>
        <w:t>year, </w:t>
      </w:r>
      <w:r>
        <w:rPr>
          <w:color w:val="231F20"/>
        </w:rPr>
        <w:t>no Regional Board reported use of the new legal tool - the Adult Protection and Support </w:t>
      </w:r>
      <w:r>
        <w:rPr>
          <w:color w:val="231F20"/>
          <w:spacing w:val="-5"/>
        </w:rPr>
        <w:t>Order. </w:t>
      </w:r>
      <w:r>
        <w:rPr>
          <w:color w:val="231F20"/>
        </w:rPr>
        <w:t>APSOs enable an authorised </w:t>
      </w:r>
      <w:r>
        <w:rPr>
          <w:color w:val="231F20"/>
          <w:spacing w:val="-3"/>
        </w:rPr>
        <w:t>officer, </w:t>
      </w:r>
      <w:r>
        <w:rPr>
          <w:color w:val="231F20"/>
        </w:rPr>
        <w:t>and any other person specified in the </w:t>
      </w:r>
      <w:r>
        <w:rPr>
          <w:color w:val="231F20"/>
          <w:spacing w:val="-8"/>
        </w:rPr>
        <w:t>order, </w:t>
      </w:r>
      <w:r>
        <w:rPr>
          <w:color w:val="231F20"/>
        </w:rPr>
        <w:t>to enter “premises” to speak to an adult suspected of being at risk of abuse or neglect in</w:t>
      </w:r>
      <w:r>
        <w:rPr>
          <w:color w:val="231F20"/>
          <w:spacing w:val="-4"/>
        </w:rPr>
        <w:t> </w:t>
      </w:r>
      <w:r>
        <w:rPr>
          <w:color w:val="231F20"/>
        </w:rPr>
        <w:t>private,</w:t>
      </w:r>
    </w:p>
    <w:p>
      <w:pPr>
        <w:pStyle w:val="BodyText"/>
        <w:spacing w:line="230" w:lineRule="auto" w:before="1"/>
        <w:ind w:left="360" w:right="929"/>
        <w:rPr>
          <w:sz w:val="13"/>
        </w:rPr>
      </w:pPr>
      <w:r>
        <w:rPr>
          <w:color w:val="231F20"/>
        </w:rPr>
        <w:t>to establish whether or not they can make decisions freely, to assess whether the person is an adult at risk and establish what, if any action should be taken. The statutory guidance defines “premises” as including domestic premises, a residential care home, a nursing home, a hospital or any other building, structure, mobile home or caravan in which the person is living.</w:t>
      </w:r>
      <w:r>
        <w:rPr>
          <w:color w:val="231F20"/>
          <w:position w:val="7"/>
          <w:sz w:val="13"/>
        </w:rPr>
        <w:t>1</w:t>
      </w:r>
    </w:p>
    <w:p>
      <w:pPr>
        <w:pStyle w:val="BodyText"/>
        <w:spacing w:before="10"/>
        <w:rPr>
          <w:sz w:val="20"/>
        </w:rPr>
      </w:pPr>
    </w:p>
    <w:p>
      <w:pPr>
        <w:pStyle w:val="BodyText"/>
        <w:spacing w:line="286" w:lineRule="exact"/>
        <w:ind w:left="360"/>
      </w:pPr>
      <w:r>
        <w:rPr>
          <w:color w:val="231F20"/>
        </w:rPr>
        <w:t>We have gathered that </w:t>
      </w:r>
      <w:r>
        <w:rPr/>
        <w:t>APSOs may be seen as positive tool if access to an adult has previously been</w:t>
      </w:r>
    </w:p>
    <w:p>
      <w:pPr>
        <w:pStyle w:val="BodyText"/>
        <w:spacing w:line="286" w:lineRule="exact"/>
        <w:ind w:left="360"/>
      </w:pPr>
      <w:r>
        <w:rPr/>
        <w:t>frustrated. However, there is little enthusiasm for using them:</w:t>
      </w:r>
    </w:p>
    <w:p>
      <w:pPr>
        <w:spacing w:line="230" w:lineRule="auto" w:before="121"/>
        <w:ind w:left="360" w:right="640" w:firstLine="0"/>
        <w:jc w:val="left"/>
        <w:rPr>
          <w:rFonts w:ascii="Avenir-MediumOblique" w:hAnsi="Avenir-MediumOblique"/>
          <w:i/>
          <w:sz w:val="22"/>
        </w:rPr>
      </w:pPr>
      <w:r>
        <w:rPr>
          <w:rFonts w:ascii="Avenir-MediumOblique" w:hAnsi="Avenir-MediumOblique"/>
          <w:i/>
          <w:sz w:val="22"/>
        </w:rPr>
        <w:t>…they are a little toothless… great for getting you through the door to see someone, but what then? As a comparison, if we were concerned enough about somebody’s mental health for example, but were struggling to gain access to that individual, there are means via the Mental Health Act 1983</w:t>
      </w:r>
      <w:r>
        <w:rPr>
          <w:rFonts w:ascii="Avenir-MediumOblique" w:hAnsi="Avenir-MediumOblique"/>
          <w:i/>
          <w:position w:val="7"/>
          <w:sz w:val="13"/>
        </w:rPr>
        <w:t>2 </w:t>
      </w:r>
      <w:r>
        <w:rPr>
          <w:rFonts w:ascii="Avenir-MediumOblique" w:hAnsi="Avenir-MediumOblique"/>
          <w:i/>
          <w:sz w:val="22"/>
        </w:rPr>
        <w:t>to gain entry and remove a person for assessment. The APSOs don’t give us the same powers and often matters are resolved without or before needing such an order.</w:t>
      </w:r>
    </w:p>
    <w:p>
      <w:pPr>
        <w:spacing w:line="230" w:lineRule="auto" w:before="184"/>
        <w:ind w:left="360" w:right="869" w:firstLine="0"/>
        <w:jc w:val="left"/>
        <w:rPr>
          <w:rFonts w:ascii="Avenir-MediumOblique"/>
          <w:i/>
          <w:sz w:val="22"/>
        </w:rPr>
      </w:pPr>
      <w:r>
        <w:rPr>
          <w:rFonts w:ascii="Avenir-MediumOblique"/>
          <w:i/>
          <w:sz w:val="22"/>
        </w:rPr>
        <w:t>Gaining access to a suspected adult at risk is merely a part of the problem; if they have been liv- ing in a toxic or coercive environment for long enough, it would in my view take more than a quick triage style chat/assessment to uncover whether there are any risks to the individual. It would be a challenge to get the individual to readily disclose issues to a Social Worker for example that </w:t>
      </w:r>
      <w:r>
        <w:rPr>
          <w:rFonts w:ascii="Avenir-MediumOblique"/>
          <w:i/>
          <w:spacing w:val="-5"/>
          <w:sz w:val="22"/>
        </w:rPr>
        <w:t>they </w:t>
      </w:r>
      <w:r>
        <w:rPr>
          <w:rFonts w:ascii="Avenir-MediumOblique"/>
          <w:i/>
          <w:sz w:val="22"/>
        </w:rPr>
        <w:t>may not yet have any sort of rapport with. If there was a power to remove (which of course would present its own difficulties) that might give sufficient time and distance away from those posing a risk for the adult at risk to be able to disclose concerns.</w:t>
      </w:r>
    </w:p>
    <w:p>
      <w:pPr>
        <w:pStyle w:val="BodyText"/>
        <w:spacing w:line="230" w:lineRule="auto" w:before="101"/>
        <w:ind w:left="360" w:right="790"/>
      </w:pPr>
      <w:r>
        <w:rPr>
          <w:color w:val="231F20"/>
        </w:rPr>
        <w:t>John Williams</w:t>
      </w:r>
      <w:r>
        <w:rPr>
          <w:color w:val="231F20"/>
          <w:position w:val="7"/>
          <w:sz w:val="13"/>
        </w:rPr>
        <w:t>3 </w:t>
      </w:r>
      <w:r>
        <w:rPr>
          <w:color w:val="231F20"/>
        </w:rPr>
        <w:t>acknowledges that assessing whether or not a person is deciding freely is a complex task because of the difficulties of immediately identifying coercive behaviour. He notes that it is unclear whether or not an APSO allows multiple entries until its purposes are achieved. The APSO does not give authorised officers ongoing powers of entry even though a person may be left with someone who is harming them, who may be enraged by the intervention and render the person at greater risk. This must be a consideration of justices of the peace when hearing applications – and of Welsh Government as it considers whether or not limited powers of intervention such as temporary removal for assessment or temporary barring would render the APSOs a more useful legal tool.</w:t>
      </w:r>
    </w:p>
    <w:p>
      <w:pPr>
        <w:pStyle w:val="BodyText"/>
        <w:spacing w:before="11"/>
        <w:rPr>
          <w:sz w:val="27"/>
        </w:rPr>
      </w:pPr>
      <w:r>
        <w:rPr/>
        <w:pict>
          <v:group style="position:absolute;margin-left:25.1483pt;margin-top:20.396179pt;width:507.8pt;height:106.95pt;mso-position-horizontal-relative:page;mso-position-vertical-relative:paragraph;z-index:-15584768;mso-wrap-distance-left:0;mso-wrap-distance-right:0" coordorigin="503,408" coordsize="10156,2139">
            <v:shape style="position:absolute;left:1204;top:474;width:9454;height:2010" coordorigin="1205,475" coordsize="9454,2010" path="m10091,475l1772,475,1444,484,1276,546,1214,714,1205,1042,1205,1918,1214,2245,1276,2414,1444,2476,1772,2485,10091,2485,10419,2476,10587,2414,10649,2245,10658,1918,10658,1042,10649,714,10587,546,10419,484,10091,475xe" filled="true" fillcolor="#3e77a4" stroked="false">
              <v:path arrowok="t"/>
              <v:fill type="solid"/>
            </v:shape>
            <v:shape style="position:absolute;left:502;top:407;width:2139;height:2139" coordorigin="503,408" coordsize="2139,2139" path="m1572,408l1496,411,1421,419,1348,432,1276,449,1207,472,1140,499,1075,531,1012,566,952,606,896,649,842,696,791,747,744,801,701,857,661,917,626,980,594,1044,567,1112,544,1181,527,1253,514,1326,506,1401,503,1477,506,1554,514,1629,527,1702,544,1773,567,1843,594,1910,626,1975,661,2038,701,2097,744,2154,791,2208,842,2258,896,2305,952,2349,1012,2389,1075,2424,1140,2456,1207,2483,1276,2505,1348,2523,1421,2536,1496,2544,1572,2547,1649,2544,1724,2536,1797,2523,1869,2505,1938,2483,2005,2456,2070,2424,2133,2389,2192,2349,2249,2305,2303,2258,2353,2208,2401,2154,2444,2097,2484,2038,2519,1975,2551,1910,2578,1843,2600,1773,2618,1702,2631,1629,2639,1554,2642,1477,2639,1401,2631,1326,2618,1253,2600,1181,2578,1112,2551,1044,2519,980,2484,917,2444,857,2401,801,2353,747,2303,696,2249,649,2192,606,2133,566,2070,531,2005,499,1938,472,1869,449,1797,432,1724,419,1649,411,1572,408xe" filled="true" fillcolor="#d5583b" stroked="false">
              <v:path arrowok="t"/>
              <v:fill type="solid"/>
            </v:shape>
            <v:shape style="position:absolute;left:908;top:613;width:1408;height:1670" coordorigin="908,613" coordsize="1408,1670" path="m1239,1211l1231,1158,1123,1174,1130,1227,1239,1211xm1263,1020l1167,971,1142,1020,1237,1069,1263,1020xm1300,1347l1271,1301,1180,1359,1209,1405,1300,1347xm1364,916l1304,835,1260,867,1320,949,1364,916xm1507,878l1493,782,1440,790,1454,885,1507,878xm1657,1613l1514,1633,1525,1642,1537,1651,1549,1659,1564,1668,1574,1668,1595,1666,1613,1659,1629,1648,1642,1631,1646,1625,1651,1620,1657,1613xm1668,1511l1664,1487,1655,1480,1477,1506,1470,1514,1473,1538,1482,1545,1571,1532,1660,1519,1668,1511xm1673,1578l1670,1552,1661,1546,1490,1570,1482,1579,1486,1604,1496,1610,1580,1598,1666,1586,1673,1578xm1685,807l1633,788,1599,883,1650,902,1685,807xm1743,1154l1740,1113,1727,1064,1704,1022,1672,987,1630,959,1586,942,1541,935,1495,936,1449,946,1379,979,1329,1027,1299,1088,1291,1156,1305,1230,1315,1255,1328,1280,1344,1303,1360,1325,1397,1371,1415,1396,1432,1422,1445,1450,1453,1481,1505,1473,1504,1468,1505,1463,1492,1428,1486,1413,1480,1398,1464,1370,1445,1344,1405,1294,1389,1273,1374,1250,1362,1227,1352,1201,1345,1149,1353,1099,1377,1055,1416,1020,1443,1005,1472,996,1501,990,1532,989,1595,1003,1645,1038,1678,1089,1689,1153,1687,1182,1681,1211,1672,1238,1661,1265,1650,1293,1638,1321,1628,1350,1621,1380,1618,1399,1617,1418,1617,1437,1619,1457,1671,1449,1671,1412,1678,1376,1689,1342,1718,1271,1731,1233,1740,1194,1743,1154xm1840,920l1803,880,1725,954,1763,994,1840,920xm1898,1256l1796,1230,1782,1283,1885,1309,1898,1256xm1910,1115l1903,1063,1794,1078,1801,1131,1910,1115xm2316,1696l2314,1668,2265,1480,2265,1690,2115,1690,2115,1763,2115,1874,2115,1926,2108,1967,2088,1998,2057,2017,2019,2023,1944,2022,1869,2022,1719,2023,1696,2023,1696,2073,1814,2073,1846,2230,1187,2230,1187,2200,1186,2125,1183,2040,1175,1955,1164,1870,1146,1787,1122,1704,1100,1644,1076,1584,1051,1524,1027,1464,1013,1434,1000,1403,987,1372,975,1341,969,1323,964,1304,961,1285,960,1265,963,1186,974,1112,994,1042,1022,977,1058,917,1101,862,1153,812,1213,766,1281,726,1358,692,1438,672,1520,664,1605,667,1683,679,1755,700,1820,730,1880,768,1934,814,1982,867,2025,928,2064,996,2094,1064,2119,1133,2140,1204,2159,1276,2179,1355,2200,1434,2241,1592,2263,1676,2264,1681,2265,1690,2265,1480,2251,1425,2230,1345,2209,1264,2188,1183,2164,1101,2134,1022,2097,946,2051,874,1999,809,1941,752,1878,706,1808,668,1797,664,1732,641,1651,623,1580,613,1534,613,1501,617,1463,620,1445,622,1426,625,1346,646,1272,675,1203,711,1141,755,1086,806,1036,866,993,932,956,1007,928,1083,912,1162,908,1242,919,1323,930,1361,944,1398,959,1434,976,1470,1009,1548,1041,1626,1070,1705,1095,1786,1114,1868,1126,1953,1133,2035,1137,2118,1138,2200,1133,2283,1906,2283,1896,2230,1865,2073,1885,2073,1956,2073,2014,2073,2027,2073,2076,2064,2117,2039,2130,2023,2147,2001,2160,1954,2162,1914,2163,1874,2162,1740,2170,1739,2177,1739,2208,1739,2241,1739,2253,1739,2260,1739,2287,1733,2306,1718,2316,1696xe" filled="true" fillcolor="#ffffff" stroked="false">
              <v:path arrowok="t"/>
              <v:fill type="solid"/>
            </v:shape>
            <v:line style="position:absolute" from="2959,1071" to="10389,1071" stroked="true" strokeweight="1pt" strokecolor="#ffffff">
              <v:stroke dashstyle="solid"/>
            </v:line>
            <v:shape style="position:absolute;left:502;top:407;width:10156;height:2139" type="#_x0000_t202" filled="false" stroked="false">
              <v:textbox inset="0,0,0,0">
                <w:txbxContent>
                  <w:p>
                    <w:pPr>
                      <w:spacing w:before="203"/>
                      <w:ind w:left="2456" w:right="0" w:firstLine="0"/>
                      <w:jc w:val="left"/>
                      <w:rPr>
                        <w:rFonts w:ascii="Avenir"/>
                        <w:b/>
                        <w:sz w:val="28"/>
                      </w:rPr>
                    </w:pPr>
                    <w:r>
                      <w:rPr>
                        <w:rFonts w:ascii="Avenir"/>
                        <w:b/>
                        <w:color w:val="FFFFFF"/>
                        <w:sz w:val="28"/>
                      </w:rPr>
                      <w:t>DID YOU KNOW?</w:t>
                    </w:r>
                  </w:p>
                  <w:p>
                    <w:pPr>
                      <w:spacing w:line="218" w:lineRule="auto" w:before="245"/>
                      <w:ind w:left="2456" w:right="313" w:firstLine="0"/>
                      <w:jc w:val="left"/>
                      <w:rPr>
                        <w:sz w:val="22"/>
                      </w:rPr>
                    </w:pPr>
                    <w:r>
                      <w:rPr>
                        <w:color w:val="FFFFFF"/>
                        <w:spacing w:val="-5"/>
                        <w:sz w:val="22"/>
                      </w:rPr>
                      <w:t>Invoking </w:t>
                    </w:r>
                    <w:r>
                      <w:rPr>
                        <w:color w:val="FFFFFF"/>
                        <w:spacing w:val="-3"/>
                        <w:sz w:val="22"/>
                      </w:rPr>
                      <w:t>an </w:t>
                    </w:r>
                    <w:r>
                      <w:rPr>
                        <w:color w:val="FFFFFF"/>
                        <w:spacing w:val="-4"/>
                        <w:sz w:val="22"/>
                      </w:rPr>
                      <w:t>Adult </w:t>
                    </w:r>
                    <w:r>
                      <w:rPr>
                        <w:color w:val="FFFFFF"/>
                        <w:spacing w:val="-5"/>
                        <w:sz w:val="22"/>
                      </w:rPr>
                      <w:t>Protection </w:t>
                    </w:r>
                    <w:r>
                      <w:rPr>
                        <w:color w:val="FFFFFF"/>
                        <w:spacing w:val="-4"/>
                        <w:sz w:val="22"/>
                      </w:rPr>
                      <w:t>and </w:t>
                    </w:r>
                    <w:r>
                      <w:rPr>
                        <w:color w:val="FFFFFF"/>
                        <w:spacing w:val="-5"/>
                        <w:sz w:val="22"/>
                      </w:rPr>
                      <w:t>Support Order </w:t>
                    </w:r>
                    <w:r>
                      <w:rPr>
                        <w:color w:val="FFFFFF"/>
                        <w:spacing w:val="-3"/>
                        <w:sz w:val="22"/>
                      </w:rPr>
                      <w:t>is </w:t>
                    </w:r>
                    <w:r>
                      <w:rPr>
                        <w:color w:val="FFFFFF"/>
                        <w:sz w:val="22"/>
                      </w:rPr>
                      <w:t>a </w:t>
                    </w:r>
                    <w:r>
                      <w:rPr>
                        <w:color w:val="FFFFFF"/>
                        <w:spacing w:val="-5"/>
                        <w:sz w:val="22"/>
                      </w:rPr>
                      <w:t>significant </w:t>
                    </w:r>
                    <w:r>
                      <w:rPr>
                        <w:color w:val="FFFFFF"/>
                        <w:spacing w:val="-4"/>
                        <w:sz w:val="22"/>
                      </w:rPr>
                      <w:t>Human </w:t>
                    </w:r>
                    <w:r>
                      <w:rPr>
                        <w:color w:val="FFFFFF"/>
                        <w:spacing w:val="-5"/>
                        <w:sz w:val="22"/>
                      </w:rPr>
                      <w:t>Rights decision. </w:t>
                    </w:r>
                    <w:r>
                      <w:rPr>
                        <w:color w:val="FFFFFF"/>
                        <w:spacing w:val="-4"/>
                        <w:sz w:val="22"/>
                      </w:rPr>
                      <w:t>The </w:t>
                    </w:r>
                    <w:r>
                      <w:rPr>
                        <w:color w:val="FFFFFF"/>
                        <w:spacing w:val="-5"/>
                        <w:sz w:val="22"/>
                      </w:rPr>
                      <w:t>National Board </w:t>
                    </w:r>
                    <w:r>
                      <w:rPr>
                        <w:color w:val="FFFFFF"/>
                        <w:spacing w:val="-4"/>
                        <w:sz w:val="22"/>
                      </w:rPr>
                      <w:t>learned that </w:t>
                    </w:r>
                    <w:r>
                      <w:rPr>
                        <w:color w:val="FFFFFF"/>
                        <w:spacing w:val="-3"/>
                        <w:sz w:val="22"/>
                      </w:rPr>
                      <w:t>an </w:t>
                    </w:r>
                    <w:r>
                      <w:rPr>
                        <w:color w:val="FFFFFF"/>
                        <w:spacing w:val="-4"/>
                        <w:sz w:val="22"/>
                      </w:rPr>
                      <w:t>APSO </w:t>
                    </w:r>
                    <w:r>
                      <w:rPr>
                        <w:color w:val="FFFFFF"/>
                        <w:spacing w:val="-5"/>
                        <w:sz w:val="22"/>
                      </w:rPr>
                      <w:t>application </w:t>
                    </w:r>
                    <w:r>
                      <w:rPr>
                        <w:color w:val="FFFFFF"/>
                        <w:spacing w:val="-4"/>
                        <w:sz w:val="22"/>
                      </w:rPr>
                      <w:t>had </w:t>
                    </w:r>
                    <w:r>
                      <w:rPr>
                        <w:color w:val="FFFFFF"/>
                        <w:spacing w:val="-5"/>
                        <w:sz w:val="22"/>
                      </w:rPr>
                      <w:t>been </w:t>
                    </w:r>
                    <w:r>
                      <w:rPr>
                        <w:color w:val="FFFFFF"/>
                        <w:spacing w:val="-4"/>
                        <w:sz w:val="22"/>
                      </w:rPr>
                      <w:t>made </w:t>
                    </w:r>
                    <w:r>
                      <w:rPr>
                        <w:color w:val="FFFFFF"/>
                        <w:sz w:val="22"/>
                      </w:rPr>
                      <w:t>– </w:t>
                    </w:r>
                    <w:r>
                      <w:rPr>
                        <w:color w:val="FFFFFF"/>
                        <w:spacing w:val="-5"/>
                        <w:sz w:val="22"/>
                      </w:rPr>
                      <w:t>outside </w:t>
                    </w:r>
                    <w:r>
                      <w:rPr>
                        <w:color w:val="FFFFFF"/>
                        <w:spacing w:val="-3"/>
                        <w:sz w:val="22"/>
                      </w:rPr>
                      <w:t>of </w:t>
                    </w:r>
                    <w:r>
                      <w:rPr>
                        <w:color w:val="FFFFFF"/>
                        <w:spacing w:val="-4"/>
                        <w:sz w:val="22"/>
                      </w:rPr>
                      <w:t>the </w:t>
                    </w:r>
                    <w:r>
                      <w:rPr>
                        <w:color w:val="FFFFFF"/>
                        <w:spacing w:val="-5"/>
                        <w:sz w:val="22"/>
                      </w:rPr>
                      <w:t>Regional Boards’ reporting period </w:t>
                    </w:r>
                    <w:r>
                      <w:rPr>
                        <w:color w:val="FFFFFF"/>
                        <w:spacing w:val="-4"/>
                        <w:sz w:val="22"/>
                      </w:rPr>
                      <w:t>for its </w:t>
                    </w:r>
                    <w:r>
                      <w:rPr>
                        <w:color w:val="FFFFFF"/>
                        <w:spacing w:val="-5"/>
                        <w:sz w:val="22"/>
                      </w:rPr>
                      <w:t>annual report </w:t>
                    </w:r>
                    <w:r>
                      <w:rPr>
                        <w:color w:val="FFFFFF"/>
                        <w:sz w:val="22"/>
                      </w:rPr>
                      <w:t>– </w:t>
                    </w:r>
                    <w:r>
                      <w:rPr>
                        <w:color w:val="FFFFFF"/>
                        <w:spacing w:val="-4"/>
                        <w:sz w:val="22"/>
                      </w:rPr>
                      <w:t>via </w:t>
                    </w:r>
                    <w:r>
                      <w:rPr>
                        <w:color w:val="FFFFFF"/>
                        <w:sz w:val="22"/>
                      </w:rPr>
                      <w:t>a </w:t>
                    </w:r>
                    <w:r>
                      <w:rPr>
                        <w:color w:val="FFFFFF"/>
                        <w:spacing w:val="-5"/>
                        <w:sz w:val="22"/>
                      </w:rPr>
                      <w:t>Professor </w:t>
                    </w:r>
                    <w:r>
                      <w:rPr>
                        <w:color w:val="FFFFFF"/>
                        <w:spacing w:val="-3"/>
                        <w:sz w:val="22"/>
                      </w:rPr>
                      <w:t>of </w:t>
                    </w:r>
                    <w:r>
                      <w:rPr>
                        <w:color w:val="FFFFFF"/>
                        <w:spacing w:val="-7"/>
                        <w:sz w:val="22"/>
                      </w:rPr>
                      <w:t>Law, </w:t>
                    </w:r>
                    <w:r>
                      <w:rPr>
                        <w:color w:val="FFFFFF"/>
                        <w:spacing w:val="-4"/>
                        <w:sz w:val="22"/>
                      </w:rPr>
                      <w:t>via the office </w:t>
                    </w:r>
                    <w:r>
                      <w:rPr>
                        <w:color w:val="FFFFFF"/>
                        <w:spacing w:val="-3"/>
                        <w:sz w:val="22"/>
                      </w:rPr>
                      <w:t>of </w:t>
                    </w:r>
                    <w:r>
                      <w:rPr>
                        <w:color w:val="FFFFFF"/>
                        <w:spacing w:val="-4"/>
                        <w:sz w:val="22"/>
                      </w:rPr>
                      <w:t>the Older</w:t>
                    </w:r>
                    <w:r>
                      <w:rPr>
                        <w:color w:val="FFFFFF"/>
                        <w:spacing w:val="-8"/>
                        <w:sz w:val="22"/>
                      </w:rPr>
                      <w:t> People’s </w:t>
                    </w:r>
                    <w:r>
                      <w:rPr>
                        <w:color w:val="FFFFFF"/>
                        <w:spacing w:val="-5"/>
                        <w:sz w:val="22"/>
                      </w:rPr>
                      <w:t>Commissioner…</w:t>
                    </w:r>
                  </w:p>
                </w:txbxContent>
              </v:textbox>
              <w10:wrap type="none"/>
            </v:shape>
            <w10:wrap type="topAndBottom"/>
          </v:group>
        </w:pict>
      </w:r>
      <w:r>
        <w:rPr/>
        <w:pict>
          <v:shape style="position:absolute;margin-left:34.015701pt;margin-top:150.096573pt;width:72pt;height:.1pt;mso-position-horizontal-relative:page;mso-position-vertical-relative:paragraph;z-index:-15584256;mso-wrap-distance-left:0;mso-wrap-distance-right:0" coordorigin="680,3002" coordsize="1440,0" path="m680,3002l2120,3002e" filled="false" stroked="true" strokeweight="1pt" strokecolor="#231f20">
            <v:path arrowok="t"/>
            <v:stroke dashstyle="solid"/>
            <w10:wrap type="topAndBottom"/>
          </v:shape>
        </w:pict>
      </w:r>
    </w:p>
    <w:p>
      <w:pPr>
        <w:pStyle w:val="BodyText"/>
        <w:spacing w:before="6"/>
        <w:rPr>
          <w:sz w:val="28"/>
        </w:rPr>
      </w:pPr>
    </w:p>
    <w:p>
      <w:pPr>
        <w:pStyle w:val="ListParagraph"/>
        <w:numPr>
          <w:ilvl w:val="0"/>
          <w:numId w:val="27"/>
        </w:numPr>
        <w:tabs>
          <w:tab w:pos="600" w:val="left" w:leader="none"/>
        </w:tabs>
        <w:spacing w:line="183" w:lineRule="exact" w:before="1" w:after="0"/>
        <w:ind w:left="599" w:right="0" w:hanging="240"/>
        <w:jc w:val="left"/>
        <w:rPr>
          <w:sz w:val="14"/>
        </w:rPr>
      </w:pPr>
      <w:r>
        <w:rPr>
          <w:color w:val="231F20"/>
          <w:sz w:val="14"/>
        </w:rPr>
        <w:t>Welsh Government (2016) </w:t>
      </w:r>
      <w:r>
        <w:rPr>
          <w:color w:val="231F20"/>
          <w:spacing w:val="-3"/>
          <w:sz w:val="14"/>
        </w:rPr>
        <w:t>Vol </w:t>
      </w:r>
      <w:r>
        <w:rPr>
          <w:color w:val="231F20"/>
          <w:sz w:val="14"/>
        </w:rPr>
        <w:t>4 – Adult Protection and Support Orders,</w:t>
      </w:r>
      <w:r>
        <w:rPr>
          <w:color w:val="231F20"/>
          <w:spacing w:val="2"/>
          <w:sz w:val="14"/>
        </w:rPr>
        <w:t> </w:t>
      </w:r>
      <w:r>
        <w:rPr>
          <w:color w:val="231F20"/>
          <w:sz w:val="14"/>
        </w:rPr>
        <w:t>para1.14</w:t>
      </w:r>
    </w:p>
    <w:p>
      <w:pPr>
        <w:pStyle w:val="ListParagraph"/>
        <w:numPr>
          <w:ilvl w:val="0"/>
          <w:numId w:val="27"/>
        </w:numPr>
        <w:tabs>
          <w:tab w:pos="600" w:val="left" w:leader="none"/>
        </w:tabs>
        <w:spacing w:line="232" w:lineRule="auto" w:before="1" w:after="0"/>
        <w:ind w:left="560" w:right="816" w:hanging="200"/>
        <w:jc w:val="left"/>
        <w:rPr>
          <w:sz w:val="14"/>
        </w:rPr>
      </w:pPr>
      <w:r>
        <w:rPr>
          <w:color w:val="231F20"/>
          <w:sz w:val="14"/>
        </w:rPr>
        <w:t>S. 135: Where a person suffering from a mental disorder is being ill-treated or kept otherwise than under proper control, or is living alone and unable to take proper care for himself, a magistrate may issue a warrant authorising a police officer to </w:t>
      </w:r>
      <w:r>
        <w:rPr>
          <w:color w:val="231F20"/>
          <w:spacing w:val="-3"/>
          <w:sz w:val="14"/>
        </w:rPr>
        <w:t>enter, </w:t>
      </w:r>
      <w:r>
        <w:rPr>
          <w:color w:val="231F20"/>
          <w:sz w:val="14"/>
        </w:rPr>
        <w:t>if need be by force, premises and remove him to a </w:t>
      </w:r>
      <w:r>
        <w:rPr>
          <w:color w:val="231F20"/>
          <w:spacing w:val="-3"/>
          <w:sz w:val="14"/>
        </w:rPr>
        <w:t>place </w:t>
      </w:r>
      <w:r>
        <w:rPr>
          <w:color w:val="231F20"/>
          <w:sz w:val="14"/>
        </w:rPr>
        <w:t>of safety</w:t>
      </w:r>
    </w:p>
    <w:p>
      <w:pPr>
        <w:pStyle w:val="ListParagraph"/>
        <w:numPr>
          <w:ilvl w:val="0"/>
          <w:numId w:val="27"/>
        </w:numPr>
        <w:tabs>
          <w:tab w:pos="600" w:val="left" w:leader="none"/>
        </w:tabs>
        <w:spacing w:line="181" w:lineRule="exact" w:before="0" w:after="0"/>
        <w:ind w:left="599" w:right="0" w:hanging="240"/>
        <w:jc w:val="left"/>
        <w:rPr>
          <w:sz w:val="14"/>
        </w:rPr>
      </w:pPr>
      <w:r>
        <w:rPr>
          <w:color w:val="231F20"/>
          <w:sz w:val="14"/>
        </w:rPr>
        <w:t>Williams, J. (2017) Adult Safeguarding in Wales: one step in the right direction </w:t>
      </w:r>
      <w:r>
        <w:rPr>
          <w:rFonts w:ascii="Avenir-BookOblique"/>
          <w:i/>
          <w:color w:val="231F20"/>
          <w:sz w:val="14"/>
        </w:rPr>
        <w:t>The Journal of Adult Protection, </w:t>
      </w:r>
      <w:r>
        <w:rPr>
          <w:color w:val="231F20"/>
          <w:sz w:val="14"/>
        </w:rPr>
        <w:t>19 (4)</w:t>
      </w:r>
      <w:r>
        <w:rPr>
          <w:color w:val="231F20"/>
          <w:spacing w:val="-3"/>
          <w:sz w:val="14"/>
        </w:rPr>
        <w:t> </w:t>
      </w:r>
      <w:r>
        <w:rPr>
          <w:color w:val="231F20"/>
          <w:sz w:val="14"/>
        </w:rPr>
        <w:t>175-186</w:t>
      </w:r>
    </w:p>
    <w:p>
      <w:pPr>
        <w:spacing w:after="0" w:line="181" w:lineRule="exact"/>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01888" filled="true" fillcolor="#3b957d" stroked="false">
            <v:fill type="solid"/>
            <w10:wrap type="none"/>
          </v:rect>
        </w:pict>
      </w:r>
    </w:p>
    <w:p>
      <w:pPr>
        <w:pStyle w:val="BodyText"/>
        <w:spacing w:before="6"/>
      </w:pPr>
    </w:p>
    <w:p>
      <w:pPr>
        <w:tabs>
          <w:tab w:pos="7398" w:val="left" w:leader="none"/>
        </w:tabs>
        <w:spacing w:before="100"/>
        <w:ind w:left="927" w:right="0" w:firstLine="0"/>
        <w:jc w:val="left"/>
        <w:rPr>
          <w:sz w:val="16"/>
        </w:rPr>
      </w:pPr>
      <w:r>
        <w:rPr>
          <w:color w:val="231F20"/>
          <w:sz w:val="16"/>
        </w:rPr>
        <w:t>44</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211" w:lineRule="auto"/>
        <w:ind w:left="927" w:right="244"/>
      </w:pPr>
      <w:r>
        <w:rPr>
          <w:color w:val="3B957D"/>
        </w:rPr>
        <w:t>Any information or learning the Safeguarding Boards have disseminated or training they have recommended </w:t>
      </w:r>
      <w:r>
        <w:rPr>
          <w:color w:val="3B957D"/>
          <w:spacing w:val="-9"/>
        </w:rPr>
        <w:t>or </w:t>
      </w:r>
      <w:r>
        <w:rPr>
          <w:color w:val="3B957D"/>
        </w:rPr>
        <w:t>provided</w:t>
      </w:r>
    </w:p>
    <w:p>
      <w:pPr>
        <w:pStyle w:val="BodyText"/>
        <w:spacing w:line="230" w:lineRule="auto" w:before="235"/>
        <w:ind w:left="927" w:right="69"/>
      </w:pPr>
      <w:r>
        <w:rPr/>
        <w:pict>
          <v:shape style="position:absolute;margin-left:7.0315pt;margin-top:10.10708pt;width:15.7pt;height:477.8pt;mso-position-horizontal-relative:page;mso-position-vertical-relative:paragraph;z-index:-17701376"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color w:val="231F20"/>
        </w:rPr>
        <w:t>Since abuse is so detrimental to the health and well-being of individuals the Regional Boards are playing a part in enhancing people’s skills and extending their knowledge. Each of the Regional Boards has created training groups: Cardiff and Vale has a Training Subgroup; Cwm Taf has a Training and Learning Subgroup; Gwent has a Learning and Development subgroup. Mid and West Wales has a Regional Training Subgroup; North Wales has a Joint Training and Workforce Development Group; and Western Bay has a Joint Training Group. So they are ensuring that practitioners have access to different types and levels of safeguarding training.</w:t>
      </w:r>
    </w:p>
    <w:p>
      <w:pPr>
        <w:pStyle w:val="BodyText"/>
        <w:spacing w:before="6"/>
        <w:rPr>
          <w:sz w:val="21"/>
        </w:rPr>
      </w:pPr>
    </w:p>
    <w:p>
      <w:pPr>
        <w:pStyle w:val="BodyText"/>
        <w:spacing w:line="230" w:lineRule="auto" w:before="1"/>
        <w:ind w:left="927" w:right="521"/>
        <w:jc w:val="both"/>
      </w:pPr>
      <w:r>
        <w:rPr>
          <w:color w:val="231F20"/>
        </w:rPr>
        <w:t>The Regional Boards were represented at three, two-day training courses concerning the Practice Review process. This was commissioned by the Welsh Government. </w:t>
      </w:r>
      <w:r>
        <w:rPr>
          <w:color w:val="231F20"/>
          <w:spacing w:val="-3"/>
        </w:rPr>
        <w:t>Similarly, </w:t>
      </w:r>
      <w:r>
        <w:rPr>
          <w:color w:val="231F20"/>
        </w:rPr>
        <w:t>the Regional </w:t>
      </w:r>
      <w:r>
        <w:rPr>
          <w:color w:val="231F20"/>
          <w:spacing w:val="-4"/>
        </w:rPr>
        <w:t>Boards </w:t>
      </w:r>
      <w:r>
        <w:rPr>
          <w:color w:val="231F20"/>
        </w:rPr>
        <w:t>have attended Social Care Wales’ training concerning Adult Protection and Support Orders.</w:t>
      </w:r>
    </w:p>
    <w:p>
      <w:pPr>
        <w:pStyle w:val="BodyText"/>
        <w:spacing w:before="5"/>
        <w:rPr>
          <w:sz w:val="21"/>
        </w:rPr>
      </w:pPr>
    </w:p>
    <w:p>
      <w:pPr>
        <w:pStyle w:val="BodyText"/>
        <w:spacing w:line="230" w:lineRule="auto"/>
        <w:ind w:left="927" w:right="544"/>
      </w:pPr>
      <w:r>
        <w:rPr>
          <w:color w:val="231F20"/>
        </w:rPr>
        <w:t>The Regional Boards’ websites contain “basic” information such as what the Boards do, who they involve, how to report abuse, information about safeguarding events and Practice Reviews for example.</w:t>
      </w:r>
    </w:p>
    <w:p>
      <w:pPr>
        <w:pStyle w:val="BodyText"/>
        <w:spacing w:before="6"/>
        <w:rPr>
          <w:sz w:val="21"/>
        </w:rPr>
      </w:pPr>
    </w:p>
    <w:p>
      <w:pPr>
        <w:pStyle w:val="BodyText"/>
        <w:spacing w:line="230" w:lineRule="auto"/>
        <w:ind w:left="927" w:right="341"/>
      </w:pPr>
      <w:r>
        <w:rPr>
          <w:color w:val="231F20"/>
        </w:rPr>
        <w:t>Three Regional Boards have embarked on freestanding training needs analyses. Cardiff and </w:t>
      </w:r>
      <w:r>
        <w:rPr>
          <w:color w:val="231F20"/>
          <w:spacing w:val="-4"/>
        </w:rPr>
        <w:t>Vale </w:t>
      </w:r>
      <w:r>
        <w:rPr>
          <w:color w:val="231F20"/>
          <w:spacing w:val="-9"/>
        </w:rPr>
        <w:t>do </w:t>
      </w:r>
      <w:r>
        <w:rPr>
          <w:color w:val="231F20"/>
        </w:rPr>
        <w:t>not detail its analysis. Mid and West Wales has developed a Regional </w:t>
      </w:r>
      <w:r>
        <w:rPr>
          <w:color w:val="231F20"/>
          <w:spacing w:val="-3"/>
        </w:rPr>
        <w:t>Training </w:t>
      </w:r>
      <w:r>
        <w:rPr>
          <w:color w:val="231F20"/>
        </w:rPr>
        <w:t>Strategy as a result of its analysis. It acknowledges the diverse professional and organisational specific training</w:t>
      </w:r>
      <w:r>
        <w:rPr>
          <w:color w:val="231F20"/>
          <w:spacing w:val="-6"/>
        </w:rPr>
        <w:t> </w:t>
      </w:r>
      <w:r>
        <w:rPr>
          <w:color w:val="231F20"/>
        </w:rPr>
        <w:t>and</w:t>
      </w:r>
    </w:p>
    <w:p>
      <w:pPr>
        <w:pStyle w:val="BodyText"/>
        <w:spacing w:line="230" w:lineRule="auto" w:before="1"/>
        <w:ind w:left="927" w:right="424"/>
      </w:pPr>
      <w:r>
        <w:rPr>
          <w:color w:val="231F20"/>
        </w:rPr>
        <w:t>is addressing the necessity of partner agencies understanding their duties and responsibilities as outlined in the Social Services and Well-being (Wales) Act 2014 and the Violence Against Women, Domestic Abuse and Sexual Violence Act 2015. North Wales’ has revealed the limited control over who can/ does deliver safeguarding training and the absence of agreed standards to evidence competence/ knowledge and has noted the need for training in relation to risk, training about self- harm and joint investigation training.</w:t>
      </w:r>
    </w:p>
    <w:p>
      <w:pPr>
        <w:pStyle w:val="BodyText"/>
        <w:spacing w:before="5"/>
        <w:rPr>
          <w:sz w:val="21"/>
        </w:rPr>
      </w:pPr>
    </w:p>
    <w:p>
      <w:pPr>
        <w:pStyle w:val="BodyText"/>
        <w:spacing w:line="230" w:lineRule="auto" w:before="1"/>
        <w:ind w:left="927" w:right="283"/>
      </w:pPr>
      <w:r>
        <w:rPr>
          <w:color w:val="231F20"/>
        </w:rPr>
        <w:t>The topics of Child Sexual Exploitation and the Violence Against Women, Domestic Abuse and Sexual Violence Act are consistent features of Regional Board training across Wales. Otherwise, the training reported at the Regional Boards reflects such policing initiatives as County Lines, the Welsh Government’s campaign to make Wales hostile to modern slavery and human trafficking</w:t>
      </w:r>
      <w:r>
        <w:rPr>
          <w:color w:val="231F20"/>
          <w:position w:val="7"/>
          <w:sz w:val="13"/>
        </w:rPr>
        <w:t>4 </w:t>
      </w:r>
      <w:r>
        <w:rPr>
          <w:color w:val="231F20"/>
        </w:rPr>
        <w:t>plus such regional interests as: dementia care (Cwm Taf); suicide and self-harm (Gwent); working with difficult, challenging and evasive families (Mid and West); self-neglect (North Wales); and young people engaging in sexually harmful behaviour (Western Bay).</w:t>
      </w:r>
    </w:p>
    <w:p>
      <w:pPr>
        <w:pStyle w:val="BodyText"/>
        <w:spacing w:before="10"/>
        <w:rPr>
          <w:sz w:val="20"/>
        </w:rPr>
      </w:pPr>
    </w:p>
    <w:p>
      <w:pPr>
        <w:pStyle w:val="BodyText"/>
        <w:spacing w:line="286" w:lineRule="exact"/>
        <w:ind w:left="927"/>
        <w:jc w:val="both"/>
      </w:pPr>
      <w:r>
        <w:rPr>
          <w:color w:val="231F20"/>
        </w:rPr>
        <w:t>It is early days and the Regional Boards are demonstrating their willingness to attend events,</w:t>
      </w:r>
    </w:p>
    <w:p>
      <w:pPr>
        <w:pStyle w:val="BodyText"/>
        <w:spacing w:line="286" w:lineRule="exact"/>
        <w:ind w:left="927"/>
        <w:jc w:val="both"/>
      </w:pPr>
      <w:r>
        <w:rPr>
          <w:color w:val="231F20"/>
        </w:rPr>
        <w:t>commission and deliver training and ask searching questions about standards for example.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pict>
          <v:shape style="position:absolute;margin-left:62.362202pt;margin-top:21.71648pt;width:72pt;height:.1pt;mso-position-horizontal-relative:page;mso-position-vertical-relative:paragraph;z-index:-15582720;mso-wrap-distance-left:0;mso-wrap-distance-right:0" coordorigin="1247,434" coordsize="1440,0" path="m1247,434l2687,434e" filled="false" stroked="true" strokeweight="1pt" strokecolor="#231f20">
            <v:path arrowok="t"/>
            <v:stroke dashstyle="solid"/>
            <w10:wrap type="topAndBottom"/>
          </v:shape>
        </w:pict>
      </w:r>
    </w:p>
    <w:p>
      <w:pPr>
        <w:spacing w:line="183" w:lineRule="exact" w:before="1"/>
        <w:ind w:left="0" w:right="176" w:firstLine="0"/>
        <w:jc w:val="right"/>
        <w:rPr>
          <w:sz w:val="14"/>
        </w:rPr>
      </w:pPr>
      <w:r>
        <w:rPr>
          <w:color w:val="231F20"/>
          <w:sz w:val="14"/>
        </w:rPr>
        <w:t>4 Criminals/ gangs in the UK conducting their drug dealing across county boundaries and coercing then exploiting young people to deliver drugs and collect</w:t>
      </w:r>
    </w:p>
    <w:p>
      <w:pPr>
        <w:spacing w:line="183" w:lineRule="exact" w:before="0"/>
        <w:ind w:left="0" w:right="264" w:firstLine="0"/>
        <w:jc w:val="right"/>
        <w:rPr>
          <w:sz w:val="14"/>
        </w:rPr>
      </w:pPr>
      <w:r>
        <w:rPr>
          <w:color w:val="231F20"/>
          <w:sz w:val="14"/>
        </w:rPr>
        <w:t>the cash payments. The young people may be socially isolated, former “looked after” children and may have a physical or learning disabilities for example</w:t>
      </w:r>
    </w:p>
    <w:p>
      <w:pPr>
        <w:spacing w:after="0" w:line="183" w:lineRule="exact"/>
        <w:jc w:val="right"/>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76096" filled="true" fillcolor="#3b957d" stroked="false">
            <v:fill type="solid"/>
            <w10:wrap type="none"/>
          </v:rect>
        </w:pict>
      </w:r>
      <w:r>
        <w:rPr/>
        <w:pict>
          <v:shape style="position:absolute;margin-left:573.765198pt;margin-top:182.052719pt;width:15.7pt;height:477.8pt;mso-position-horizontal-relative:page;mso-position-vertical-relative:page;z-index:15876608"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45</w:t>
      </w:r>
    </w:p>
    <w:p>
      <w:pPr>
        <w:pStyle w:val="BodyText"/>
      </w:pPr>
    </w:p>
    <w:p>
      <w:pPr>
        <w:pStyle w:val="BodyText"/>
      </w:pPr>
    </w:p>
    <w:p>
      <w:pPr>
        <w:pStyle w:val="BodyText"/>
      </w:pPr>
    </w:p>
    <w:p>
      <w:pPr>
        <w:pStyle w:val="BodyText"/>
        <w:rPr>
          <w:sz w:val="32"/>
        </w:rPr>
      </w:pPr>
    </w:p>
    <w:p>
      <w:pPr>
        <w:pStyle w:val="BodyText"/>
        <w:spacing w:line="230" w:lineRule="auto"/>
        <w:ind w:left="357" w:right="734"/>
      </w:pPr>
      <w:r>
        <w:rPr>
          <w:color w:val="231F20"/>
        </w:rPr>
        <w:t>During 2016-17, the National Board and Social Care Wales sought to establish a baseline of safeguarding training opportunities. The effort was unsuccessful. However, since it cannot be established from the 2017-18 annual reports whether or not (i) instruction-led, online or a mix of the two are mostly favoured; (ii) the training needs analyses were (a) coordinated and sought identical information, (b) combined individual as well as organisational needs, the case for an overview of Wales’ safeguarding training remains.</w:t>
      </w:r>
    </w:p>
    <w:p>
      <w:pPr>
        <w:pStyle w:val="BodyText"/>
        <w:spacing w:before="4"/>
      </w:pPr>
    </w:p>
    <w:tbl>
      <w:tblPr>
        <w:tblW w:w="0" w:type="auto"/>
        <w:jc w:val="left"/>
        <w:tblInd w:w="3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86"/>
        <w:gridCol w:w="8395"/>
      </w:tblGrid>
      <w:tr>
        <w:trPr>
          <w:trHeight w:val="550" w:hRule="atLeast"/>
        </w:trPr>
        <w:tc>
          <w:tcPr>
            <w:tcW w:w="1586" w:type="dxa"/>
            <w:tcBorders>
              <w:top w:val="nil"/>
              <w:left w:val="nil"/>
            </w:tcBorders>
            <w:shd w:val="clear" w:color="auto" w:fill="3B957D"/>
          </w:tcPr>
          <w:p>
            <w:pPr>
              <w:pStyle w:val="TableParagraph"/>
              <w:rPr>
                <w:rFonts w:ascii="Times New Roman"/>
                <w:sz w:val="20"/>
              </w:rPr>
            </w:pPr>
          </w:p>
        </w:tc>
        <w:tc>
          <w:tcPr>
            <w:tcW w:w="8395" w:type="dxa"/>
            <w:tcBorders>
              <w:top w:val="nil"/>
              <w:right w:val="nil"/>
            </w:tcBorders>
            <w:shd w:val="clear" w:color="auto" w:fill="3B957D"/>
          </w:tcPr>
          <w:p>
            <w:pPr>
              <w:pStyle w:val="TableParagraph"/>
              <w:spacing w:before="170"/>
              <w:ind w:left="159"/>
              <w:rPr>
                <w:rFonts w:ascii="Avenir"/>
                <w:b/>
                <w:sz w:val="22"/>
              </w:rPr>
            </w:pPr>
            <w:r>
              <w:rPr>
                <w:rFonts w:ascii="Avenir"/>
                <w:b/>
                <w:color w:val="FFFFFF"/>
                <w:sz w:val="22"/>
              </w:rPr>
              <w:t>Learning and Training</w:t>
            </w:r>
          </w:p>
        </w:tc>
      </w:tr>
      <w:tr>
        <w:trPr>
          <w:trHeight w:val="1100" w:hRule="atLeast"/>
        </w:trPr>
        <w:tc>
          <w:tcPr>
            <w:tcW w:w="1586" w:type="dxa"/>
            <w:tcBorders>
              <w:left w:val="nil"/>
            </w:tcBorders>
            <w:shd w:val="clear" w:color="auto" w:fill="3B957D"/>
          </w:tcPr>
          <w:p>
            <w:pPr>
              <w:pStyle w:val="TableParagraph"/>
              <w:spacing w:line="290" w:lineRule="exact" w:before="160"/>
              <w:ind w:right="158"/>
              <w:jc w:val="right"/>
              <w:rPr>
                <w:rFonts w:ascii="Avenir"/>
                <w:b/>
                <w:sz w:val="22"/>
              </w:rPr>
            </w:pPr>
            <w:r>
              <w:rPr>
                <w:rFonts w:ascii="Avenir"/>
                <w:b/>
                <w:color w:val="FFFFFF"/>
                <w:sz w:val="22"/>
              </w:rPr>
              <w:t>Cardiff</w:t>
            </w:r>
            <w:r>
              <w:rPr>
                <w:rFonts w:ascii="Avenir"/>
                <w:b/>
                <w:color w:val="FFFFFF"/>
                <w:spacing w:val="-8"/>
                <w:sz w:val="22"/>
              </w:rPr>
              <w:t> </w:t>
            </w:r>
            <w:r>
              <w:rPr>
                <w:rFonts w:ascii="Avenir"/>
                <w:b/>
                <w:color w:val="FFFFFF"/>
                <w:sz w:val="22"/>
              </w:rPr>
              <w:t>and</w:t>
            </w:r>
          </w:p>
          <w:p>
            <w:pPr>
              <w:pStyle w:val="TableParagraph"/>
              <w:spacing w:line="290" w:lineRule="exact"/>
              <w:ind w:right="158"/>
              <w:jc w:val="right"/>
              <w:rPr>
                <w:rFonts w:ascii="Avenir"/>
                <w:b/>
                <w:sz w:val="22"/>
              </w:rPr>
            </w:pPr>
            <w:r>
              <w:rPr>
                <w:rFonts w:ascii="Avenir"/>
                <w:b/>
                <w:color w:val="FFFFFF"/>
                <w:spacing w:val="-4"/>
                <w:sz w:val="22"/>
              </w:rPr>
              <w:t>Vale</w:t>
            </w:r>
          </w:p>
        </w:tc>
        <w:tc>
          <w:tcPr>
            <w:tcW w:w="8395" w:type="dxa"/>
            <w:tcBorders>
              <w:right w:val="nil"/>
            </w:tcBorders>
            <w:shd w:val="clear" w:color="auto" w:fill="3B957D"/>
          </w:tcPr>
          <w:p>
            <w:pPr>
              <w:pStyle w:val="TableParagraph"/>
              <w:spacing w:line="230" w:lineRule="auto" w:before="169"/>
              <w:ind w:left="159" w:right="220"/>
              <w:rPr>
                <w:sz w:val="22"/>
              </w:rPr>
            </w:pPr>
            <w:r>
              <w:rPr>
                <w:color w:val="FFFFFF"/>
                <w:sz w:val="22"/>
              </w:rPr>
              <w:t>Has undertaken a “training mapping exercise” to see what training agencies are offering; it is developing a training register; and seeks to incorporate learning from practice reviews and safeguarding research into future training</w:t>
            </w:r>
          </w:p>
        </w:tc>
      </w:tr>
      <w:tr>
        <w:trPr>
          <w:trHeight w:val="1100" w:hRule="atLeast"/>
        </w:trPr>
        <w:tc>
          <w:tcPr>
            <w:tcW w:w="1586" w:type="dxa"/>
            <w:tcBorders>
              <w:left w:val="nil"/>
            </w:tcBorders>
            <w:shd w:val="clear" w:color="auto" w:fill="3B957D"/>
          </w:tcPr>
          <w:p>
            <w:pPr>
              <w:pStyle w:val="TableParagraph"/>
              <w:spacing w:before="160"/>
              <w:ind w:right="158"/>
              <w:jc w:val="right"/>
              <w:rPr>
                <w:rFonts w:ascii="Avenir"/>
                <w:b/>
                <w:sz w:val="22"/>
              </w:rPr>
            </w:pPr>
            <w:r>
              <w:rPr>
                <w:rFonts w:ascii="Avenir"/>
                <w:b/>
                <w:color w:val="FFFFFF"/>
                <w:sz w:val="22"/>
              </w:rPr>
              <w:t>Cwm Taf</w:t>
            </w:r>
          </w:p>
        </w:tc>
        <w:tc>
          <w:tcPr>
            <w:tcW w:w="8395" w:type="dxa"/>
            <w:tcBorders>
              <w:right w:val="nil"/>
            </w:tcBorders>
            <w:shd w:val="clear" w:color="auto" w:fill="3B957D"/>
          </w:tcPr>
          <w:p>
            <w:pPr>
              <w:pStyle w:val="TableParagraph"/>
              <w:spacing w:line="230" w:lineRule="auto" w:before="169"/>
              <w:ind w:left="159" w:right="220"/>
              <w:rPr>
                <w:sz w:val="22"/>
              </w:rPr>
            </w:pPr>
            <w:r>
              <w:rPr>
                <w:color w:val="FFFFFF"/>
                <w:sz w:val="22"/>
              </w:rPr>
              <w:t>Has delivered safeguarding training courses; it has increased the numbers of reviewers/ facilitators to undertake Practice Reviews; and undertaken Multi Agency Practitioner events</w:t>
            </w:r>
          </w:p>
        </w:tc>
      </w:tr>
      <w:tr>
        <w:trPr>
          <w:trHeight w:val="1660" w:hRule="atLeast"/>
        </w:trPr>
        <w:tc>
          <w:tcPr>
            <w:tcW w:w="1586" w:type="dxa"/>
            <w:tcBorders>
              <w:left w:val="nil"/>
            </w:tcBorders>
            <w:shd w:val="clear" w:color="auto" w:fill="3B957D"/>
          </w:tcPr>
          <w:p>
            <w:pPr>
              <w:pStyle w:val="TableParagraph"/>
              <w:spacing w:before="160"/>
              <w:ind w:right="158"/>
              <w:jc w:val="right"/>
              <w:rPr>
                <w:rFonts w:ascii="Avenir"/>
                <w:b/>
                <w:sz w:val="22"/>
              </w:rPr>
            </w:pPr>
            <w:r>
              <w:rPr>
                <w:rFonts w:ascii="Avenir"/>
                <w:b/>
                <w:color w:val="FFFFFF"/>
                <w:sz w:val="22"/>
              </w:rPr>
              <w:t>Gwent</w:t>
            </w:r>
          </w:p>
        </w:tc>
        <w:tc>
          <w:tcPr>
            <w:tcW w:w="8395" w:type="dxa"/>
            <w:tcBorders>
              <w:right w:val="nil"/>
            </w:tcBorders>
            <w:shd w:val="clear" w:color="auto" w:fill="3B957D"/>
          </w:tcPr>
          <w:p>
            <w:pPr>
              <w:pStyle w:val="TableParagraph"/>
              <w:spacing w:line="230" w:lineRule="auto" w:before="169"/>
              <w:ind w:left="159" w:right="103"/>
              <w:rPr>
                <w:sz w:val="22"/>
              </w:rPr>
            </w:pPr>
            <w:r>
              <w:rPr>
                <w:color w:val="FFFFFF"/>
                <w:sz w:val="22"/>
              </w:rPr>
              <w:t>Although its training is skewed towards safeguarding children, the process of addressing parallel adult safeguarding training has begun. It is proactive in providing “awareness raising training” to complement that of individual agencies; it has reviewed, revised and is piloting training modules; and it commissions training regarding specialist topics</w:t>
            </w:r>
          </w:p>
        </w:tc>
      </w:tr>
      <w:tr>
        <w:trPr>
          <w:trHeight w:val="1100" w:hRule="atLeast"/>
        </w:trPr>
        <w:tc>
          <w:tcPr>
            <w:tcW w:w="1586" w:type="dxa"/>
            <w:tcBorders>
              <w:left w:val="nil"/>
            </w:tcBorders>
            <w:shd w:val="clear" w:color="auto" w:fill="3B957D"/>
          </w:tcPr>
          <w:p>
            <w:pPr>
              <w:pStyle w:val="TableParagraph"/>
              <w:spacing w:line="223" w:lineRule="auto" w:before="175"/>
              <w:ind w:left="201" w:firstLine="362"/>
              <w:rPr>
                <w:rFonts w:ascii="Avenir"/>
                <w:b/>
                <w:sz w:val="22"/>
              </w:rPr>
            </w:pPr>
            <w:r>
              <w:rPr>
                <w:rFonts w:ascii="Avenir"/>
                <w:b/>
                <w:color w:val="FFFFFF"/>
                <w:sz w:val="22"/>
              </w:rPr>
              <w:t>Mid and West Wales</w:t>
            </w:r>
          </w:p>
        </w:tc>
        <w:tc>
          <w:tcPr>
            <w:tcW w:w="8395" w:type="dxa"/>
            <w:tcBorders>
              <w:right w:val="nil"/>
            </w:tcBorders>
            <w:shd w:val="clear" w:color="auto" w:fill="3B957D"/>
          </w:tcPr>
          <w:p>
            <w:pPr>
              <w:pStyle w:val="TableParagraph"/>
              <w:spacing w:line="230" w:lineRule="auto" w:before="169"/>
              <w:ind w:left="159" w:right="220"/>
              <w:rPr>
                <w:sz w:val="22"/>
              </w:rPr>
            </w:pPr>
            <w:r>
              <w:rPr>
                <w:color w:val="FFFFFF"/>
                <w:sz w:val="22"/>
              </w:rPr>
              <w:t>Has invested in developing its website to promote events, reviews and good practice; a training needs analysis; as well as making sense of organisations’ internal training frameworks</w:t>
            </w:r>
          </w:p>
        </w:tc>
      </w:tr>
      <w:tr>
        <w:trPr>
          <w:trHeight w:val="1660" w:hRule="atLeast"/>
        </w:trPr>
        <w:tc>
          <w:tcPr>
            <w:tcW w:w="1586" w:type="dxa"/>
            <w:tcBorders>
              <w:left w:val="nil"/>
            </w:tcBorders>
            <w:shd w:val="clear" w:color="auto" w:fill="3B957D"/>
          </w:tcPr>
          <w:p>
            <w:pPr>
              <w:pStyle w:val="TableParagraph"/>
              <w:spacing w:line="223" w:lineRule="auto" w:before="175"/>
              <w:ind w:left="800" w:hanging="4"/>
              <w:rPr>
                <w:rFonts w:ascii="Avenir"/>
                <w:b/>
                <w:sz w:val="22"/>
              </w:rPr>
            </w:pPr>
            <w:r>
              <w:rPr>
                <w:rFonts w:ascii="Avenir"/>
                <w:b/>
                <w:color w:val="FFFFFF"/>
                <w:sz w:val="22"/>
              </w:rPr>
              <w:t>North Wales</w:t>
            </w:r>
          </w:p>
        </w:tc>
        <w:tc>
          <w:tcPr>
            <w:tcW w:w="8395" w:type="dxa"/>
            <w:tcBorders>
              <w:right w:val="nil"/>
            </w:tcBorders>
            <w:shd w:val="clear" w:color="auto" w:fill="3B957D"/>
          </w:tcPr>
          <w:p>
            <w:pPr>
              <w:pStyle w:val="TableParagraph"/>
              <w:spacing w:line="230" w:lineRule="auto" w:before="169"/>
              <w:ind w:left="159" w:right="220"/>
              <w:rPr>
                <w:sz w:val="22"/>
              </w:rPr>
            </w:pPr>
            <w:r>
              <w:rPr>
                <w:color w:val="FFFFFF"/>
                <w:sz w:val="22"/>
              </w:rPr>
              <w:t>Has undertaken a training needs analysis and over 30 organisations responded. This identified “gaps” principally concerning adult safeguarding. It acknowledges the challenges of quality assuring the competence and knowledge of trainers and is exploring: regionally agreed, “basic” training for providers and performance framework; and quality assured trainers</w:t>
            </w:r>
          </w:p>
        </w:tc>
      </w:tr>
      <w:tr>
        <w:trPr>
          <w:trHeight w:val="1390" w:hRule="atLeast"/>
        </w:trPr>
        <w:tc>
          <w:tcPr>
            <w:tcW w:w="1586" w:type="dxa"/>
            <w:tcBorders>
              <w:left w:val="nil"/>
              <w:bottom w:val="nil"/>
            </w:tcBorders>
            <w:shd w:val="clear" w:color="auto" w:fill="3B957D"/>
          </w:tcPr>
          <w:p>
            <w:pPr>
              <w:pStyle w:val="TableParagraph"/>
              <w:spacing w:line="290" w:lineRule="exact" w:before="160"/>
              <w:ind w:left="535"/>
              <w:rPr>
                <w:rFonts w:ascii="Avenir"/>
                <w:b/>
                <w:sz w:val="22"/>
              </w:rPr>
            </w:pPr>
            <w:r>
              <w:rPr>
                <w:rFonts w:ascii="Avenir"/>
                <w:b/>
                <w:color w:val="FFFFFF"/>
                <w:sz w:val="22"/>
              </w:rPr>
              <w:t>Western</w:t>
            </w:r>
          </w:p>
          <w:p>
            <w:pPr>
              <w:pStyle w:val="TableParagraph"/>
              <w:spacing w:line="290" w:lineRule="exact"/>
              <w:ind w:left="1032"/>
              <w:rPr>
                <w:rFonts w:ascii="Avenir"/>
                <w:b/>
                <w:sz w:val="22"/>
              </w:rPr>
            </w:pPr>
            <w:r>
              <w:rPr>
                <w:rFonts w:ascii="Avenir"/>
                <w:b/>
                <w:color w:val="FFFFFF"/>
                <w:sz w:val="22"/>
              </w:rPr>
              <w:t>Bay</w:t>
            </w:r>
          </w:p>
        </w:tc>
        <w:tc>
          <w:tcPr>
            <w:tcW w:w="8395" w:type="dxa"/>
            <w:tcBorders>
              <w:bottom w:val="nil"/>
              <w:right w:val="nil"/>
            </w:tcBorders>
            <w:shd w:val="clear" w:color="auto" w:fill="3B957D"/>
          </w:tcPr>
          <w:p>
            <w:pPr>
              <w:pStyle w:val="TableParagraph"/>
              <w:spacing w:line="230" w:lineRule="auto" w:before="169"/>
              <w:ind w:left="159" w:right="220"/>
              <w:rPr>
                <w:sz w:val="22"/>
              </w:rPr>
            </w:pPr>
            <w:r>
              <w:rPr>
                <w:color w:val="FFFFFF"/>
                <w:sz w:val="22"/>
              </w:rPr>
              <w:t>Relies on Regional Board members to disseminate the learning arising from “audits and Practice Reviews.” It relies on a pool of agency based trainers including the three local authorities, South Wales Police and Women’s Aid for example</w:t>
            </w:r>
          </w:p>
        </w:tc>
      </w:tr>
    </w:tbl>
    <w:p>
      <w:pPr>
        <w:spacing w:after="0" w:line="230" w:lineRule="auto"/>
        <w:rPr>
          <w:sz w:val="22"/>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99840" filled="true" fillcolor="#3b957d" stroked="false">
            <v:fill type="solid"/>
            <w10:wrap type="none"/>
          </v:rect>
        </w:pict>
      </w:r>
      <w:r>
        <w:rPr/>
        <w:pict>
          <v:group style="position:absolute;margin-left:48.898102pt;margin-top:76.535416pt;width:521.15pt;height:740.05pt;mso-position-horizontal-relative:page;mso-position-vertical-relative:page;z-index:-17699328" coordorigin="978,1531" coordsize="10423,14801">
            <v:shape style="position:absolute;left:1870;top:1955;width:9233;height:14202" coordorigin="1871,1956" coordsize="9233,14202" path="m10537,1956l2438,1956,2110,1965,1942,2027,1880,2195,1871,2523,1871,15591,1880,15918,1942,16087,2110,16149,2438,16157,10537,16157,10865,16149,11033,16087,11095,15918,11104,15591,11104,2523,11095,2195,11033,2027,10865,1965,10537,1956xe" filled="true" fillcolor="#3e77a4" stroked="false">
              <v:path arrowok="t"/>
              <v:fill type="solid"/>
            </v:shape>
            <v:shape style="position:absolute;left:977;top:1530;width:2304;height:2304" coordorigin="978,1531" coordsize="2304,2304" path="m2130,1531l2054,1533,1979,1540,1906,1552,1835,1569,1766,1589,1698,1614,1632,1643,1569,1676,1508,1713,1449,1753,1394,1796,1341,1843,1291,1893,1244,1946,1200,2002,1160,2061,1123,2122,1091,2185,1062,2251,1037,2318,1016,2388,1000,2459,988,2532,980,2607,978,2682,980,2758,988,2832,1000,2905,1016,2977,1037,3046,1062,3114,1091,3180,1123,3243,1160,3304,1200,3362,1244,3418,1291,3471,1341,3521,1394,3568,1449,3612,1508,3652,1569,3688,1632,3721,1698,3750,1766,3775,1835,3796,1906,3812,1979,3824,2054,3831,2130,3834,2205,3831,2280,3824,2353,3812,2424,3796,2494,3775,2561,3750,2627,3721,2690,3688,2751,3652,2810,3612,2865,3568,2918,3521,2968,3471,3015,3418,3059,3362,3099,3304,3136,3243,3169,3180,3197,3114,3222,3046,3243,2977,3260,2905,3271,2832,3279,2758,3281,2682,3279,2607,3271,2532,3260,2459,3243,2388,3222,2318,3197,2251,3169,2185,3136,2122,3099,2061,3059,2002,3015,1946,2968,1893,2918,1843,2865,1796,2810,1753,2751,1713,2690,1676,2627,1643,2561,1614,2494,1589,2424,1569,2353,1552,2280,1540,2205,1533,2130,1531xe" filled="true" fillcolor="#d5583b" stroked="false">
              <v:path arrowok="t"/>
              <v:fill type="solid"/>
            </v:shape>
            <v:shape style="position:absolute;left:1414;top:1751;width:1516;height:1798" coordorigin="1414,1752" coordsize="1516,1798" path="m1770,2396l1762,2339,1645,2356,1653,2412,1770,2396xm1796,2190l1693,2137,1666,2189,1768,2242,1796,2190xm1836,2542l1805,2492,1707,2554,1738,2604,1836,2542xm1905,2078l1841,1990,1793,2025,1858,2113,1905,2078xm2059,2037l2044,1934,1987,1942,2002,2045,2059,2037xm2221,2828l2067,2850,2079,2860,2091,2869,2104,2877,2121,2888,2131,2887,2154,2885,2173,2878,2191,2866,2205,2848,2209,2842,2214,2836,2221,2828xm2232,2718l2228,2693,2218,2686,2026,2713,2019,2722,2023,2748,2032,2755,2128,2741,2224,2728,2232,2718xm2238,2790l2234,2763,2224,2756,2041,2782,2033,2792,2036,2818,2048,2825,2138,2812,2230,2799,2238,2790xm2250,1960l2195,1940,2158,2042,2213,2063,2250,1960xm2314,2334l2310,2290,2296,2238,2271,2192,2237,2154,2192,2124,2144,2106,2095,2098,2046,2100,1996,2110,1921,2146,1867,2198,1835,2263,1826,2337,1841,2416,1853,2443,1867,2469,1883,2494,1901,2518,1941,2568,1960,2595,1978,2623,1992,2653,2000,2686,2057,2678,2056,2672,2056,2667,2043,2629,2037,2613,2030,2597,2013,2567,1993,2539,1949,2485,1932,2462,1916,2438,1903,2412,1893,2385,1885,2328,1893,2275,1919,2228,1961,2190,1990,2174,2021,2163,2053,2158,2086,2157,2154,2171,2208,2209,2243,2265,2255,2333,2253,2365,2246,2395,2237,2425,2225,2454,2213,2484,2200,2514,2190,2545,2182,2577,2179,2598,2177,2618,2177,2639,2180,2660,2236,2652,2236,2612,2243,2573,2255,2536,2286,2460,2300,2419,2310,2377,2314,2334xm2418,2082l2377,2039,2294,2119,2335,2162,2418,2082xm2480,2444l2370,2416,2356,2473,2466,2501,2480,2444xm2493,2292l2485,2236,2368,2253,2376,2309,2493,2292xm2930,2918l2928,2887,2876,2685,2876,2911,2714,2911,2714,2964,2713,3008,2713,3066,2713,3116,2714,3165,2707,3210,2684,3243,2651,3264,2610,3270,2529,3269,2449,3269,2287,3269,2262,3269,2262,3323,2390,3323,2424,3493,1715,3493,1715,3461,1714,3393,1711,3314,1706,3235,1697,3157,1685,3080,1667,3003,1645,2927,1621,2861,1595,2797,1569,2732,1542,2668,1528,2635,1513,2602,1499,2569,1486,2536,1480,2516,1475,2495,1472,2475,1470,2454,1474,2369,1486,2288,1507,2213,1537,2144,1575,2079,1622,2020,1678,1966,1743,1917,1815,1873,1882,1843,1950,1822,2020,1810,2091,1807,2164,1810,2248,1823,2326,1845,2396,1877,2461,1918,2519,1967,2571,2025,2617,2091,2658,2164,2691,2237,2718,2312,2741,2388,2761,2465,2783,2550,2805,2636,2849,2806,2873,2896,2874,2902,2876,2911,2876,2685,2851,2589,2832,2514,2812,2440,2793,2365,2772,2295,2748,2226,2719,2159,2685,2094,2645,2032,2597,1972,2545,1918,2488,1872,2427,1833,2371,1807,2361,1801,2290,1778,2214,1762,2138,1752,2089,1752,2052,1755,2012,1759,1992,1761,1972,1764,1895,1784,1823,1810,1756,1843,1694,1882,1638,1928,1587,1980,1541,2039,1501,2104,1466,2175,1436,2258,1418,2343,1414,2429,1426,2516,1438,2557,1453,2596,1470,2636,1487,2675,1518,2746,1548,2818,1576,2891,1601,2965,1622,3040,1638,3116,1649,3194,1656,3283,1661,3372,1661,3461,1657,3550,2489,3550,2478,3493,2444,3324,2467,3324,2543,3324,2602,3324,2619,3324,2672,3314,2716,3287,2729,3270,2748,3247,2762,3196,2764,3153,2765,3116,2765,2965,2773,2964,2780,2964,2814,2964,2849,2964,2863,2964,2870,2964,2899,2958,2920,2942,2930,2918xe" filled="true" fillcolor="#ffffff" stroked="false">
              <v:path arrowok="t"/>
              <v:fill type="solid"/>
            </v:shape>
            <v:line style="position:absolute" from="3593,2669" to="10813,2669" stroked="true" strokeweight="1pt" strokecolor="#ffffff">
              <v:stroke dashstyle="solid"/>
            </v:line>
            <v:shape style="position:absolute;left:5635;top:6897;width:5766;height:9434" coordorigin="5635,6898" coordsize="5766,9434" path="m10802,8183l10800,8127,10794,8072,10785,8017,10771,7964,10754,7911,10733,7858,10708,7807,10680,7756,10649,7707,10615,7658,10577,7611,10536,7564,10492,7519,10445,7475,10395,7432,10342,7391,10287,7350,10229,7311,10169,7274,10105,7238,10040,7204,9972,7171,9902,7139,9830,7110,9756,7082,9680,7056,9601,7032,9521,7009,9440,6989,9356,6970,9271,6953,9185,6939,9097,6927,9007,6916,8917,6908,8825,6902,8732,6899,8638,6898,8545,6899,8452,6902,8360,6908,8269,6916,8180,6927,8092,6939,8006,6953,7921,6970,7837,6989,7756,7009,7676,7032,7597,7056,7521,7082,7447,7110,7375,7139,7305,7171,7237,7204,7172,7238,7108,7274,7048,7311,6990,7350,6935,7391,6882,7432,6832,7475,6785,7519,6741,7564,6700,7611,6662,7658,6628,7707,6597,7756,6569,7807,6544,7858,6523,7911,6506,7964,6492,8017,6483,8072,6477,8127,6475,8183,6477,8238,6483,8294,6492,8348,6506,8402,6523,8455,6544,8507,6569,8558,6580,8579,6565,8586,6484,8613,6407,8627,6332,8628,6263,8621,6199,8609,6141,8592,6089,8575,6046,8561,6011,8550,5985,8547,5969,8553,5968,8567,5980,8586,6003,8611,6038,8639,6082,8670,6133,8703,6192,8737,6257,8770,6325,8801,6397,8829,6471,8853,6545,8872,6619,8885,6691,8891,6759,8887,6817,8876,6832,8890,6882,8933,6935,8975,6990,9015,7048,9054,7108,9091,7172,9127,7237,9162,7305,9195,7375,9226,7447,9255,7521,9283,7597,9309,7676,9334,7756,9356,7837,9377,7921,9395,8006,9412,8092,9426,8180,9439,8269,9449,8360,9457,8452,9463,8545,9467,8638,9468,8732,9467,8825,9463,8917,9457,9007,9449,9097,9439,9185,9426,9271,9412,9356,9395,9440,9377,9521,9356,9601,9334,9680,9309,9756,9283,9830,9255,9902,9226,9972,9195,10040,9162,10105,9127,10169,9091,10229,9054,10287,9015,10342,8975,10395,8933,10445,8890,10492,8846,10536,8801,10577,8755,10615,8707,10649,8658,10680,8609,10708,8558,10733,8507,10754,8455,10771,8402,10785,8348,10794,8294,10800,8238,10802,8183xm11400,14780l11399,14724,11394,14669,11386,14614,11375,14560,11360,14507,11343,14454,11322,14402,11299,14350,11273,14299,11244,14249,11212,14200,11178,14152,11140,14104,11101,14057,11058,14012,11014,13967,10966,13923,10917,13880,10865,13838,10811,13798,10754,13758,10696,13720,10635,13682,10572,13646,10508,13612,10441,13578,10373,13546,10302,13515,10230,13486,10156,13458,10081,13431,10004,13406,9925,13382,9845,13360,9764,13340,9681,13321,9596,13304,9511,13288,9424,13274,9336,13262,9247,13252,9157,13243,9066,13237,8974,13232,8881,13229,8787,13228,8694,13229,8601,13232,8509,13237,8418,13243,8328,13252,8239,13262,8151,13274,8064,13288,7978,13304,7894,13321,7811,13340,7730,13360,7650,13382,7571,13406,7494,13431,7418,13458,7345,13486,7273,13515,7202,13546,7134,13578,7067,13612,7002,13646,6940,13682,6879,13720,6821,13758,6764,13798,6710,13838,6658,13880,6608,13923,6561,13967,6516,14012,6474,14057,6434,14104,6397,14152,6363,14200,6331,14249,6302,14299,6276,14350,6252,14402,6232,14454,6215,14507,6200,14560,6189,14614,6181,14669,6176,14724,6174,14780,6176,14835,6181,14891,6189,14945,6200,14996,6173,14995,6094,14981,6022,14958,5956,14930,5896,14898,5842,14864,5793,14831,5715,14775,5685,14756,5661,14746,5643,14746,5635,14756,5636,14774,5646,14799,5663,14831,5688,14869,5720,14911,5757,14956,5801,15004,5849,15054,5902,15104,5958,15154,6018,15202,6081,15248,6145,15291,6211,15329,6277,15362,6344,15388,6393,15402,6397,15408,6434,15455,6474,15502,6516,15548,6561,15593,6608,15637,6658,15679,6710,15721,6764,15762,6821,15801,6879,15840,6940,15877,7002,15913,7067,15948,7134,15981,7202,16014,7273,16044,7345,16074,7418,16102,7494,16128,7571,16154,7650,16177,7730,16199,7811,16220,7894,16239,7978,16256,8064,16271,8151,16285,8239,16297,8328,16308,8418,16316,8509,16323,8601,16328,8694,16331,8787,16332,8881,16331,8974,16328,9066,16323,9157,16316,9247,16308,9336,16297,9424,16285,9511,16271,9596,16256,9681,16239,9764,16220,9845,16199,9925,16177,10004,16154,10081,16128,10156,16102,10230,16074,10302,16044,10373,16014,10441,15981,10508,15948,10572,15913,10635,15877,10696,15840,10754,15801,10811,15762,10865,15721,10917,15679,10966,15637,11014,15593,11058,15548,11101,15502,11140,15455,11178,15408,11212,15359,11244,15310,11273,15260,11299,15209,11322,15158,11343,15106,11360,15053,11375,14999,11386,14945,11394,14891,11399,14835,11400,14780xe" filled="true" fillcolor="#f99d2c" stroked="false">
              <v:path arrowok="t"/>
              <v:fill type="solid"/>
            </v:shape>
            <v:shape style="position:absolute;left:2132;top:6675;width:4603;height:9208" coordorigin="2133,6676" coordsize="4603,9208" path="m3727,15735l3726,15721,3679,15663,3653,15599,3640,15532,3634,15463,3630,15394,3622,15326,3609,15254,3586,15109,3573,15037,3557,14965,3546,14947,3525,14931,3499,14919,3476,14915,3405,14929,3348,14961,3304,15012,3276,15080,3253,15159,3232,15239,3218,15319,3213,15399,3222,15481,3247,15564,3256,15589,3261,15616,3263,15644,3262,15671,3255,15749,3266,15791,3306,15809,3387,15817,3414,15818,3441,15818,3496,15817,3530,15816,3581,15814,3639,15808,3693,15798,3707,15785,3719,15760,3727,15735xm3727,9428l3726,9414,3679,9356,3653,9292,3640,9225,3634,9156,3630,9087,3622,9019,3609,8947,3586,8802,3573,8730,3557,8658,3546,8640,3525,8624,3499,8612,3476,8608,3405,8622,3348,8654,3304,8705,3276,8773,3253,8852,3232,8932,3218,9012,3213,9092,3222,9174,3247,9256,3256,9282,3261,9309,3263,9337,3262,9364,3255,9442,3266,9484,3306,9502,3387,9510,3414,9511,3441,9511,3496,9510,3530,9509,3581,9507,3639,9501,3693,9490,3707,9477,3719,9453,3727,9428xm4672,15193l4660,15116,4634,15036,4595,14952,4564,14898,4507,14810,4480,14765,4449,14721,4411,14697,4364,14693,4308,14709,4312,14782,4314,14855,4318,14928,4323,15001,4332,15074,4339,15150,4338,15225,4328,15296,4308,15366,4279,15434,4241,15500,4202,15563,4175,15618,4163,15666,4168,15706,4193,15740,4239,15766,4309,15787,4406,15801,4426,15802,4446,15803,4466,15804,4486,15804,4545,15799,4574,15783,4578,15750,4565,15693,4558,15659,4557,15623,4560,15587,4566,15551,4576,15519,4591,15487,4608,15456,4624,15425,4654,15346,4670,15269,4672,15193xm4672,8886l4660,8809,4634,8729,4595,8644,4564,8591,4507,8503,4480,8458,4449,8413,4411,8390,4364,8386,4308,8402,4312,8475,4314,8548,4318,8621,4323,8694,4332,8767,4339,8843,4338,8918,4328,8989,4308,9059,4279,9127,4241,9193,4202,9256,4175,9311,4163,9359,4168,9399,4193,9433,4239,9459,4309,9479,4406,9494,4426,9495,4446,9496,4466,9497,4486,9497,4545,9492,4574,9476,4578,9442,4565,9386,4558,9352,4557,9316,4560,9279,4566,9244,4576,9212,4591,9180,4608,9149,4624,9118,4654,9039,4670,8962,4672,8886xm6735,14086l6734,14025,6727,13963,6713,13902,6692,13841,6666,13781,6633,13724,6594,13668,6550,13619,6500,13574,6446,13535,6389,13500,6331,13485,6278,13501,6236,13543,6211,13604,6287,13615,6356,13638,6417,13674,6468,13720,6508,13774,6537,13836,6554,13904,6557,13978,6545,14054,6513,14136,6463,14199,6395,14243,6310,14268,6225,14273,6150,14254,6087,14212,6040,14146,6006,14074,5975,14001,5947,13926,5923,13851,5904,13774,5887,13700,5867,13627,5845,13556,5818,13486,5789,13418,5757,13351,5720,13286,5681,13222,5638,13159,5583,13098,5522,13053,5455,13024,5383,13008,5308,13004,5229,13011,5155,13023,5080,13037,5006,13053,4932,13070,4859,13088,4786,13104,4713,13113,4641,13115,4570,13109,4498,13095,4428,13073,4348,13046,4270,13024,4192,13007,4115,12994,4040,12986,3964,12983,3890,12984,3817,12988,3744,12996,3671,13008,3600,13023,3529,13041,3458,13062,3388,13086,3319,13112,3250,13140,3181,13170,3113,13202,3045,13236,2978,13271,2910,13307,2843,13344,2776,13382,2706,13429,2645,13482,2593,13541,2549,13604,2512,13672,2481,13744,2456,13819,2435,13897,2417,13976,2402,14057,2359,14301,2313,14545,2251,14870,2204,15113,2190,15165,2172,15216,2152,15267,2133,15317,2177,15253,2216,15188,2253,15121,2285,15053,2315,14983,2341,14913,2365,14841,2387,14769,2407,14696,2426,14622,2443,14547,2459,14472,2474,14396,2504,14243,2523,14327,2543,14410,2583,14575,2602,14656,2620,14737,2637,14817,2650,14897,2661,14978,2668,15058,2670,15140,2665,15222,2656,15304,2642,15386,2626,15469,2592,15633,2576,15715,2566,15790,2575,15837,2612,15864,2683,15877,2745,15881,2808,15882,2870,15881,2933,15878,2970,15871,2995,15856,3000,15829,2979,15790,2958,15755,2951,15722,2959,15689,2979,15655,3026,15591,3066,15524,3100,15454,3127,15382,3150,15308,3169,15232,3185,15154,3205,15071,3231,15001,3265,14946,3307,14903,3359,14872,3422,14853,3495,14845,3663,14849,3742,14842,3818,14828,3894,14807,3968,14780,4041,14747,4121,14713,4202,14684,4285,14658,4368,14632,4414,14625,4454,14634,4488,14659,4515,14700,4806,15290,4877,15438,4912,15513,4945,15578,4973,15646,4984,15717,4967,15796,4973,15813,4995,15839,5024,15863,5052,15876,5119,15882,5186,15883,5254,15881,5321,15876,5371,15863,5399,15837,5403,15806,5380,15776,5318,15718,5278,15652,5254,15581,5239,15505,5215,15345,5189,15185,5162,15025,5050,14384,5044,14309,5056,14250,5085,14206,5130,14179,5190,14168,5266,14173,5348,14192,5420,14222,5482,14264,5536,14320,5583,14392,5623,14457,5669,14516,5723,14566,5787,14602,5863,14620,5952,14617,5915,14546,6006,14547,6096,14550,6183,14550,6269,14544,6350,14529,6422,14508,6487,14479,6544,14445,6593,14405,6635,14360,6669,14312,6696,14259,6716,14204,6729,14146,6735,14086xm6735,7779l6734,7718,6727,7656,6713,7595,6692,7534,6666,7474,6633,7417,6594,7361,6550,7312,6500,7267,6446,7227,6389,7193,6331,7178,6278,7194,6236,7236,6211,7297,6287,7307,6356,7331,6417,7367,6468,7412,6508,7467,6537,7529,6554,7597,6557,7670,6545,7747,6513,7829,6463,7892,6395,7936,6310,7961,6225,7966,6150,7947,6087,7905,6040,7839,6006,7767,5975,7694,5947,7619,5923,7544,5904,7467,5887,7393,5867,7320,5845,7249,5818,7179,5789,7111,5757,7044,5720,6978,5681,6915,5638,6852,5583,6791,5522,6746,5455,6717,5383,6701,5308,6697,5229,6704,5155,6716,5080,6730,5006,6745,4932,6763,4859,6781,4786,6797,4713,6806,4641,6808,4570,6802,4498,6788,4428,6766,4348,6739,4270,6717,4192,6700,4115,6687,4040,6679,3964,6676,3890,6676,3817,6681,3744,6689,3671,6701,3600,6716,3529,6734,3458,6755,3388,6779,3319,6805,3250,6833,3181,6863,3113,6895,3045,6929,2978,6964,2910,7000,2843,7037,2776,7075,2706,7122,2645,7175,2593,7234,2549,7297,2512,7365,2481,7437,2456,7512,2435,7590,2417,7669,2402,7750,2359,7994,2313,8238,2251,8563,2204,8806,2190,8858,2172,8909,2152,8959,2133,9010,2177,8946,2216,8881,2253,8814,2285,8746,2315,8676,2341,8606,2365,8534,2387,8462,2407,8389,2426,8315,2443,8240,2459,8165,2474,8089,2504,7936,2523,8020,2543,8103,2583,8267,2602,8349,2620,8429,2637,8510,2650,8590,2661,8671,2668,8751,2670,8833,2665,8915,2656,8997,2642,9079,2626,9162,2592,9326,2576,9408,2566,9483,2575,9530,2612,9557,2683,9570,2745,9574,2808,9575,2870,9574,2933,9571,2970,9564,2995,9549,3000,9522,2979,9483,2958,9448,2951,9415,2959,9381,2979,9348,3026,9284,3066,9217,3100,9147,3127,9075,3150,9001,3169,8925,3185,8847,3205,8764,3231,8694,3265,8638,3307,8596,3359,8565,3422,8546,3495,8538,3663,8542,3742,8535,3818,8521,3894,8500,3968,8472,4041,8440,4121,8406,4202,8377,4285,8350,4368,8325,4414,8318,4454,8327,4488,8351,4515,8392,4806,8983,4877,9131,4912,9206,4945,9271,4973,9338,4984,9410,4967,9489,4973,9506,4995,9532,5024,9556,5052,9569,5119,9574,5186,9576,5254,9574,5321,9569,5371,9556,5399,9530,5403,9499,5380,9469,5318,9410,5278,9345,5254,9274,5239,9198,5215,9038,5189,8878,5162,8717,5050,8077,5044,8002,5056,7942,5085,7899,5130,7872,5190,7861,5266,7866,5348,7885,5420,7915,5482,7957,5536,8013,5583,8085,5623,8150,5669,8209,5723,8258,5787,8294,5863,8313,5952,8310,5915,8239,6006,8240,6096,8243,6183,8243,6269,8237,6350,8222,6422,8201,6487,8172,6544,8138,6593,8098,6635,8053,6669,8004,6696,7952,6716,7896,6729,7839,6735,7779xe" filled="true" fillcolor="#ffffff" stroked="false">
              <v:path arrowok="t"/>
              <v:fill type="solid"/>
            </v:shape>
            <v:shape style="position:absolute;left:2286;top:3755;width:4835;height:2571" coordorigin="2287,3756" coordsize="4835,2571" path="m7121,5425l7119,5412,7104,5406,7078,5409,7043,5419,6999,5434,6948,5451,6890,5467,6826,5480,6756,5487,6682,5485,6604,5472,6524,5445,6509,5437,6520,5417,6545,5365,6583,5260,6606,5152,6614,5041,6612,4985,6596,4876,6566,4769,6520,4665,6461,4565,6389,4469,6348,4423,6304,4377,6257,4333,6207,4290,6154,4249,6099,4209,6041,4170,5980,4132,5917,4096,5852,4062,5784,4029,5714,3998,5642,3968,5568,3940,5491,3914,5413,3890,5333,3867,5252,3847,5168,3828,5083,3812,4997,3797,4909,3785,4819,3775,4729,3766,4637,3761,4544,3757,4450,3756,4357,3757,4264,3761,4172,3766,4081,3775,3992,3785,3904,3797,3818,3812,3733,3828,3649,3847,3567,3867,3488,3890,3409,3914,3333,3940,3259,3968,3187,3998,3117,4029,3049,4062,2983,4096,2920,4132,2860,4170,2802,4209,2746,4249,2694,4290,2644,4333,2597,4377,2553,4423,2512,4469,2474,4517,2408,4615,2356,4717,2318,4822,2295,4930,2287,5041,2289,5097,2304,5206,2335,5313,2381,5417,2440,5517,2512,5613,2553,5659,2597,5705,2644,5749,2694,5791,2746,5833,2802,5873,2860,5912,2920,5950,2983,5986,3049,6020,3117,6053,3187,6084,3259,6114,3333,6142,3409,6168,3488,6192,3567,6215,3649,6235,3733,6254,3818,6270,3904,6285,3992,6297,4081,6307,4172,6315,4264,6321,4357,6325,4450,6326,4544,6325,4637,6321,4729,6315,4819,6307,4909,6297,4997,6285,5083,6270,5168,6254,5252,6235,5333,6215,5413,6192,5491,6168,5568,6142,5642,6114,5714,6084,5784,6053,5852,6020,5917,5986,5980,5950,6041,5912,6099,5873,6154,5833,6207,5791,6257,5749,6272,5734,6329,5746,6398,5749,6470,5744,6544,5731,6618,5712,6692,5687,6764,5659,6832,5628,6897,5595,6955,5562,7007,5529,7085,5469,7109,5444,7121,5425xe" filled="true" fillcolor="#f99d2c" stroked="false">
              <v:path arrowok="t"/>
              <v:fill type="solid"/>
            </v:shape>
            <v:shape style="position:absolute;left:6265;top:3614;width:4603;height:2901" coordorigin="6265,3614" coordsize="4603,2901" path="m8837,6297l8825,6250,8798,6195,8759,6132,8721,6066,8692,5998,8672,5928,8662,5856,8661,5782,8668,5705,8677,5633,8682,5560,8686,5487,8688,5414,8692,5341,8636,5325,8589,5328,8551,5352,8520,5396,8494,5442,8436,5530,8405,5583,8366,5668,8340,5748,8328,5825,8330,5901,8346,5977,8376,6056,8392,6088,8409,6119,8424,6150,8434,6183,8441,6218,8444,6254,8442,6290,8435,6324,8422,6381,8426,6414,8455,6430,8514,6435,8534,6435,8554,6435,8574,6434,8594,6432,8691,6418,8761,6398,8807,6371,8832,6338,8837,6297xm9787,6031l9782,5950,9768,5870,9747,5791,9725,5711,9696,5644,9652,5593,9595,5560,9524,5547,9501,5551,9475,5562,9454,5579,9443,5596,9427,5668,9414,5740,9391,5886,9378,5958,9370,6026,9366,6095,9361,6164,9347,6231,9321,6294,9274,6353,9274,6367,9281,6392,9293,6416,9307,6429,9361,6439,9419,6445,9470,6448,9504,6449,9559,6449,9586,6449,9613,6448,9694,6441,9734,6422,9745,6380,9738,6302,9737,6275,9739,6248,9744,6220,9753,6195,9778,6112,9787,6031xm10868,5949l10848,5898,10828,5847,10810,5796,10796,5745,10749,5501,10687,5176,10641,4932,10598,4688,10583,4608,10565,4528,10544,4451,10519,4376,10488,4304,10451,4236,10407,4172,10355,4113,10295,4060,10224,4014,10157,3976,10090,3939,10022,3902,9955,3867,9887,3834,9819,3802,9750,3771,9681,3743,9612,3717,9542,3694,9471,3673,9400,3655,9329,3640,9256,3628,9184,3620,9110,3615,9036,3614,8960,3618,8885,3626,8808,3638,8730,3655,8652,3677,8572,3705,8502,3727,8430,3741,8359,3746,8287,3745,8214,3736,8141,3720,8068,3701,7994,3684,7920,3668,7845,3655,7771,3643,7692,3636,7617,3640,7545,3655,7478,3685,7417,3729,7362,3791,7319,3853,7280,3917,7244,3982,7211,4049,7182,4117,7156,4187,7133,4258,7113,4331,7096,4406,7077,4482,7053,4558,7025,4632,6994,4705,6960,4777,6913,4844,6850,4886,6775,4904,6690,4900,6605,4874,6537,4830,6487,4768,6455,4685,6443,4609,6446,4536,6463,4468,6492,4406,6532,4351,6584,4305,6644,4270,6713,4246,6789,4235,6764,4174,6722,4133,6669,4117,6611,4132,6554,4166,6500,4206,6450,4251,6406,4300,6367,4355,6334,4413,6308,4473,6287,4533,6273,4595,6266,4656,6265,4717,6271,4777,6284,4835,6304,4891,6331,4943,6366,4992,6407,5037,6457,5076,6513,5111,6578,5139,6651,5161,6731,5175,6817,5182,6904,5182,6994,5179,7085,5177,7048,5249,7137,5252,7213,5233,7277,5197,7331,5147,7377,5088,7417,5023,7464,4952,7518,4896,7580,4853,7652,4823,7734,4805,7810,4800,7870,4811,7915,4838,7944,4881,7956,4940,7950,5016,7838,5656,7811,5816,7785,5977,7762,6136,7746,6212,7722,6284,7682,6349,7621,6407,7597,6438,7601,6469,7629,6494,7679,6508,7746,6512,7814,6514,7881,6513,7948,6507,7976,6495,8005,6471,8027,6445,8033,6427,8016,6349,8028,6277,8055,6210,8088,6144,8123,6070,8194,5922,8485,5331,8512,5290,8546,5265,8586,5257,8632,5264,8715,5289,8798,5315,8879,5345,8959,5378,9032,5411,9106,5438,9182,5460,9258,5474,9337,5480,9505,5476,9578,5484,9641,5503,9693,5534,9735,5577,9769,5633,9795,5702,9815,5786,9831,5863,9850,5939,9873,6013,9900,6086,9934,6155,9974,6223,10021,6287,10041,6320,10049,6353,10042,6387,10021,6422,10000,6461,10005,6487,10030,6503,10067,6509,10130,6512,10192,6514,10255,6513,10317,6509,10388,6495,10425,6469,10434,6422,10424,6347,10408,6265,10374,6100,10358,6018,10345,5935,10335,5853,10330,5771,10332,5690,10339,5609,10350,5529,10363,5449,10380,5368,10398,5287,10417,5206,10457,5042,10477,4959,10496,4875,10526,5027,10541,5103,10557,5179,10575,5253,10593,5327,10613,5400,10635,5473,10659,5544,10685,5615,10715,5684,10747,5752,10784,5819,10823,5885,10868,5949xe" filled="true" fillcolor="#ffffff" stroked="false">
              <v:path arrowok="t"/>
              <v:fill type="solid"/>
            </v:shape>
            <v:shape style="position:absolute;left:2316;top:10001;width:4835;height:2571" coordorigin="2316,10001" coordsize="4835,2571" path="m7150,11670l7149,11657,7133,11651,7108,11654,7073,11664,7029,11679,6978,11696,6920,11712,6856,11725,6786,11732,6712,11730,6634,11717,6553,11690,6539,11682,6550,11662,6574,11611,6612,11506,6636,11397,6644,11286,6642,11231,6626,11121,6595,11014,6550,10911,6491,10811,6418,10715,6377,10668,6333,10623,6286,10579,6237,10536,6184,10494,6129,10454,6071,10415,6010,10378,5947,10342,5881,10307,5814,10274,5744,10243,5672,10214,5597,10186,5521,10160,5443,10135,5363,10113,5281,10092,5198,10074,5113,10057,5026,10043,4938,10030,4849,10020,4758,10012,4667,10006,4574,10003,4480,10001,4386,10003,4293,10006,4202,10012,4111,10020,4022,10030,3934,10043,3847,10057,3762,10074,3679,10092,3597,10113,3517,10135,3439,10160,3363,10186,3288,10214,3216,10243,3146,10274,3078,10307,3013,10342,2950,10378,2889,10415,2831,10454,2776,10494,2723,10536,2674,10579,2627,10623,2583,10668,2542,10715,2504,10762,2438,10860,2386,10962,2348,11067,2324,11176,2316,11286,2318,11342,2334,11452,2365,11559,2410,11662,2469,11762,2542,11858,2583,11905,2627,11950,2674,11994,2723,12037,2776,12078,2831,12119,2889,12158,2950,12195,3013,12231,3078,12265,3146,12298,3216,12330,3288,12359,3363,12387,3439,12413,3517,12438,3597,12460,3679,12480,3762,12499,3847,12516,3934,12530,4022,12543,4111,12553,4202,12561,4293,12567,4386,12570,4480,12571,4574,12570,4667,12567,4758,12561,4849,12553,4938,12543,5026,12530,5113,12516,5198,12499,5281,12480,5363,12460,5443,12438,5521,12413,5597,12387,5672,12359,5744,12330,5814,12298,5881,12265,5947,12231,6010,12195,6071,12158,6129,12119,6184,12078,6237,12037,6286,11994,6302,11980,6359,11991,6428,11994,6499,11989,6573,11976,6648,11957,6721,11933,6793,11905,6862,11873,6926,11841,6985,11807,7037,11774,7115,11714,7139,11690,7150,11670xe" filled="true" fillcolor="#f99d2c" stroked="false">
              <v:path arrowok="t"/>
              <v:fill type="solid"/>
            </v:shape>
            <v:shape style="position:absolute;left:6265;top:9850;width:4603;height:2901" coordorigin="6265,9851" coordsize="4603,2901" path="m8837,12534l8825,12486,8798,12431,8759,12368,8721,12302,8692,12234,8672,12164,8662,12092,8661,12018,8668,11941,8677,11869,8682,11796,8686,11723,8688,11650,8692,11577,8636,11561,8589,11565,8551,11588,8520,11633,8494,11678,8436,11766,8405,11819,8366,11904,8340,11984,8328,12061,8330,12137,8346,12213,8376,12293,8392,12324,8409,12355,8424,12387,8434,12419,8441,12454,8444,12491,8442,12526,8435,12561,8422,12617,8426,12650,8455,12666,8514,12671,8534,12672,8554,12671,8574,12670,8594,12668,8691,12654,8761,12634,8807,12607,8832,12574,8837,12534xm9787,12267l9782,12186,9768,12106,9747,12027,9725,11947,9696,11880,9652,11829,9595,11796,9524,11783,9501,11787,9475,11799,9454,11815,9443,11833,9427,11904,9414,11977,9391,12122,9378,12194,9370,12262,9366,12331,9361,12400,9347,12467,9321,12530,9274,12589,9274,12603,9281,12628,9293,12652,9307,12665,9361,12676,9419,12681,9470,12684,9504,12685,9559,12686,9586,12686,9613,12685,9694,12677,9734,12659,9745,12617,9738,12538,9737,12511,9739,12484,9744,12457,9753,12431,9778,12349,9787,12267xm10868,12185l10848,12134,10828,12084,10810,12033,10796,11981,10749,11737,10687,11413,10641,11169,10598,10924,10583,10844,10565,10764,10544,10687,10519,10612,10488,10540,10451,10472,10407,10408,10355,10350,10295,10297,10224,10250,10157,10212,10090,10175,10022,10139,9955,10104,9887,10070,9819,10038,9750,10008,9681,9979,9612,9953,9542,9930,9471,9909,9400,9891,9329,9876,9256,9864,9184,9856,9110,9851,9036,9851,8960,9854,8885,9862,8808,9874,8730,9892,8652,9914,8572,9941,8502,9963,8430,9977,8359,9983,8287,9981,8214,9972,8141,9956,8068,9937,7994,9920,7920,9905,7845,9891,7771,9879,7692,9872,7617,9876,7545,9892,7478,9921,7417,9966,7362,10027,7319,10089,7280,10153,7244,10219,7211,10285,7182,10354,7156,10423,7133,10495,7113,10567,7096,10642,7077,10718,7053,10794,7025,10869,6994,10942,6960,11013,6913,11080,6850,11122,6775,11141,6690,11136,6605,11110,6537,11067,6487,11004,6455,10922,6443,10845,6446,10772,6463,10704,6492,10642,6532,10587,6584,10542,6644,10506,6713,10482,6789,10471,6764,10410,6722,10369,6669,10353,6611,10368,6554,10402,6500,10442,6450,10487,6406,10536,6367,10591,6334,10649,6308,10709,6287,10770,6273,10831,6266,10893,6265,10954,6271,11013,6284,11071,6304,11127,6331,11179,6366,11228,6407,11273,6457,11313,6513,11347,6578,11375,6651,11397,6731,11411,6817,11418,6904,11418,6994,11415,7085,11414,7048,11485,7137,11488,7213,11469,7277,11433,7331,11384,7377,11324,7417,11259,7464,11188,7518,11132,7580,11090,7652,11060,7734,11041,7810,11036,7870,11047,7915,11074,7944,11117,7956,11176,7950,11252,7838,11892,7811,12053,7785,12213,7762,12373,7746,12449,7722,12520,7682,12585,7621,12643,7597,12674,7601,12705,7629,12731,7679,12744,7746,12749,7814,12751,7881,12749,7948,12744,7976,12731,8005,12707,8027,12681,8033,12664,8016,12585,8028,12513,8055,12446,8088,12381,8123,12306,8194,12158,8485,11567,8512,11526,8546,11502,8586,11493,8632,11500,8715,11525,8798,11552,8879,11581,8959,11615,9032,11647,9106,11675,9182,11696,9258,11710,9337,11717,9505,11713,9578,11721,9641,11740,9693,11770,9735,11813,9769,11869,9795,11938,9815,12022,9831,12099,9850,12176,9873,12250,9900,12322,9934,12392,9974,12459,10021,12523,10041,12556,10049,12590,10042,12623,10021,12658,10000,12697,10005,12723,10030,12739,10067,12745,10130,12748,10192,12750,10255,12749,10317,12745,10388,12732,10425,12705,10434,12658,10424,12583,10408,12501,10374,12336,10358,12254,10345,12172,10335,12089,10330,12008,10332,11926,10339,11846,10350,11765,10363,11685,10380,11604,10398,11523,10417,11442,10457,11278,10477,11195,10496,11111,10526,11264,10541,11340,10557,11415,10575,11489,10593,11563,10613,11637,10635,11709,10659,11781,10685,11851,10715,11920,10747,11988,10784,12055,10823,12121,10868,12185xe" filled="true" fillcolor="#ffffff" stroked="false">
              <v:path arrowok="t"/>
              <v:fill type="solid"/>
            </v:shape>
            <w10:wrap type="none"/>
          </v:group>
        </w:pict>
      </w:r>
    </w:p>
    <w:p>
      <w:pPr>
        <w:pStyle w:val="BodyText"/>
        <w:spacing w:before="6"/>
      </w:pPr>
    </w:p>
    <w:p>
      <w:pPr>
        <w:tabs>
          <w:tab w:pos="7398" w:val="left" w:leader="none"/>
        </w:tabs>
        <w:spacing w:before="100"/>
        <w:ind w:left="927" w:right="0" w:firstLine="0"/>
        <w:jc w:val="left"/>
        <w:rPr>
          <w:sz w:val="16"/>
        </w:rPr>
      </w:pPr>
      <w:r>
        <w:rPr>
          <w:color w:val="231F20"/>
          <w:sz w:val="16"/>
        </w:rPr>
        <w:t>46</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spacing w:before="256"/>
        <w:ind w:left="3272" w:right="0" w:firstLine="0"/>
        <w:jc w:val="left"/>
        <w:rPr>
          <w:rFonts w:ascii="Avenir"/>
          <w:b/>
          <w:sz w:val="28"/>
        </w:rPr>
      </w:pPr>
      <w:r>
        <w:rPr>
          <w:rFonts w:ascii="Avenir"/>
          <w:b/>
          <w:color w:val="FFFFFF"/>
          <w:sz w:val="28"/>
        </w:rPr>
        <w:t>DID YOU KNOW?</w:t>
      </w:r>
    </w:p>
    <w:p>
      <w:pPr>
        <w:spacing w:before="233"/>
        <w:ind w:left="3272" w:right="0" w:firstLine="0"/>
        <w:jc w:val="left"/>
        <w:rPr>
          <w:sz w:val="26"/>
        </w:rPr>
      </w:pPr>
      <w:r>
        <w:rPr>
          <w:color w:val="FFFFFF"/>
          <w:sz w:val="26"/>
        </w:rPr>
        <w:t>There are four familiar “elephants in the room:”</w:t>
      </w:r>
    </w:p>
    <w:p>
      <w:pPr>
        <w:pStyle w:val="BodyText"/>
        <w:rPr>
          <w:sz w:val="20"/>
        </w:rPr>
      </w:pPr>
    </w:p>
    <w:p>
      <w:pPr>
        <w:pStyle w:val="BodyText"/>
        <w:rPr>
          <w:sz w:val="20"/>
        </w:rPr>
      </w:pPr>
    </w:p>
    <w:p>
      <w:pPr>
        <w:pStyle w:val="BodyText"/>
        <w:rPr>
          <w:sz w:val="20"/>
        </w:rPr>
      </w:pPr>
    </w:p>
    <w:p>
      <w:pPr>
        <w:spacing w:line="216" w:lineRule="auto" w:before="278"/>
        <w:ind w:left="2483" w:right="5381" w:hanging="3"/>
        <w:jc w:val="center"/>
        <w:rPr>
          <w:rFonts w:ascii="Avenir" w:hAnsi="Avenir"/>
          <w:b/>
          <w:sz w:val="25"/>
        </w:rPr>
      </w:pPr>
      <w:r>
        <w:rPr/>
        <w:pict>
          <v:shape style="position:absolute;margin-left:7.0315pt;margin-top:-16.135685pt;width:15.7pt;height:477.8pt;mso-position-horizontal-relative:page;mso-position-vertical-relative:paragraph;z-index:-17698816"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rFonts w:ascii="Avenir" w:hAnsi="Avenir"/>
          <w:b/>
          <w:color w:val="FFFFFF"/>
          <w:spacing w:val="-4"/>
          <w:w w:val="105"/>
          <w:sz w:val="25"/>
        </w:rPr>
        <w:t>Are </w:t>
      </w:r>
      <w:r>
        <w:rPr>
          <w:rFonts w:ascii="Avenir" w:hAnsi="Avenir"/>
          <w:b/>
          <w:color w:val="FFFFFF"/>
          <w:spacing w:val="-3"/>
          <w:w w:val="105"/>
          <w:sz w:val="25"/>
        </w:rPr>
        <w:t>training commissioners confident that</w:t>
      </w:r>
      <w:r>
        <w:rPr>
          <w:rFonts w:ascii="Avenir" w:hAnsi="Avenir"/>
          <w:b/>
          <w:color w:val="FFFFFF"/>
          <w:spacing w:val="-18"/>
          <w:w w:val="105"/>
          <w:sz w:val="25"/>
        </w:rPr>
        <w:t> </w:t>
      </w:r>
      <w:r>
        <w:rPr>
          <w:rFonts w:ascii="Avenir" w:hAnsi="Avenir"/>
          <w:b/>
          <w:color w:val="FFFFFF"/>
          <w:w w:val="105"/>
          <w:sz w:val="25"/>
        </w:rPr>
        <w:t>the</w:t>
      </w:r>
      <w:r>
        <w:rPr>
          <w:rFonts w:ascii="Avenir" w:hAnsi="Avenir"/>
          <w:b/>
          <w:color w:val="FFFFFF"/>
          <w:spacing w:val="-18"/>
          <w:w w:val="105"/>
          <w:sz w:val="25"/>
        </w:rPr>
        <w:t> </w:t>
      </w:r>
      <w:r>
        <w:rPr>
          <w:rFonts w:ascii="Avenir" w:hAnsi="Avenir"/>
          <w:b/>
          <w:color w:val="FFFFFF"/>
          <w:spacing w:val="-3"/>
          <w:w w:val="105"/>
          <w:sz w:val="25"/>
        </w:rPr>
        <w:t>course</w:t>
      </w:r>
      <w:r>
        <w:rPr>
          <w:rFonts w:ascii="Avenir" w:hAnsi="Avenir"/>
          <w:b/>
          <w:color w:val="FFFFFF"/>
          <w:spacing w:val="-18"/>
          <w:w w:val="105"/>
          <w:sz w:val="25"/>
        </w:rPr>
        <w:t> </w:t>
      </w:r>
      <w:r>
        <w:rPr>
          <w:rFonts w:ascii="Avenir" w:hAnsi="Avenir"/>
          <w:b/>
          <w:color w:val="FFFFFF"/>
          <w:spacing w:val="-3"/>
          <w:w w:val="105"/>
          <w:sz w:val="25"/>
        </w:rPr>
        <w:t>content</w:t>
      </w:r>
      <w:r>
        <w:rPr>
          <w:rFonts w:ascii="Avenir" w:hAnsi="Avenir"/>
          <w:b/>
          <w:color w:val="FFFFFF"/>
          <w:spacing w:val="-18"/>
          <w:w w:val="105"/>
          <w:sz w:val="25"/>
        </w:rPr>
        <w:t> </w:t>
      </w:r>
      <w:r>
        <w:rPr>
          <w:rFonts w:ascii="Avenir" w:hAnsi="Avenir"/>
          <w:b/>
          <w:color w:val="FFFFFF"/>
          <w:spacing w:val="-3"/>
          <w:w w:val="105"/>
          <w:sz w:val="25"/>
        </w:rPr>
        <w:t>is closely</w:t>
      </w:r>
      <w:r>
        <w:rPr>
          <w:rFonts w:ascii="Avenir" w:hAnsi="Avenir"/>
          <w:b/>
          <w:color w:val="FFFFFF"/>
          <w:spacing w:val="-26"/>
          <w:w w:val="105"/>
          <w:sz w:val="25"/>
        </w:rPr>
        <w:t> </w:t>
      </w:r>
      <w:r>
        <w:rPr>
          <w:rFonts w:ascii="Avenir" w:hAnsi="Avenir"/>
          <w:b/>
          <w:color w:val="FFFFFF"/>
          <w:spacing w:val="-3"/>
          <w:w w:val="105"/>
          <w:sz w:val="25"/>
        </w:rPr>
        <w:t>aligned</w:t>
      </w:r>
      <w:r>
        <w:rPr>
          <w:rFonts w:ascii="Avenir" w:hAnsi="Avenir"/>
          <w:b/>
          <w:color w:val="FFFFFF"/>
          <w:spacing w:val="-25"/>
          <w:w w:val="105"/>
          <w:sz w:val="25"/>
        </w:rPr>
        <w:t> </w:t>
      </w:r>
      <w:r>
        <w:rPr>
          <w:rFonts w:ascii="Avenir" w:hAnsi="Avenir"/>
          <w:b/>
          <w:color w:val="FFFFFF"/>
          <w:w w:val="105"/>
          <w:sz w:val="25"/>
        </w:rPr>
        <w:t>to</w:t>
      </w:r>
      <w:r>
        <w:rPr>
          <w:rFonts w:ascii="Avenir" w:hAnsi="Avenir"/>
          <w:b/>
          <w:color w:val="FFFFFF"/>
          <w:spacing w:val="-25"/>
          <w:w w:val="105"/>
          <w:sz w:val="25"/>
        </w:rPr>
        <w:t> </w:t>
      </w:r>
      <w:r>
        <w:rPr>
          <w:rFonts w:ascii="Avenir" w:hAnsi="Avenir"/>
          <w:b/>
          <w:color w:val="FFFFFF"/>
          <w:spacing w:val="-5"/>
          <w:w w:val="105"/>
          <w:sz w:val="25"/>
        </w:rPr>
        <w:t>people’s </w:t>
      </w:r>
      <w:r>
        <w:rPr>
          <w:rFonts w:ascii="Avenir" w:hAnsi="Avenir"/>
          <w:b/>
          <w:color w:val="FFFFFF"/>
          <w:w w:val="105"/>
          <w:sz w:val="25"/>
        </w:rPr>
        <w:t>day to day</w:t>
      </w:r>
      <w:r>
        <w:rPr>
          <w:rFonts w:ascii="Avenir" w:hAnsi="Avenir"/>
          <w:b/>
          <w:color w:val="FFFFFF"/>
          <w:spacing w:val="-36"/>
          <w:w w:val="105"/>
          <w:sz w:val="25"/>
        </w:rPr>
        <w:t> </w:t>
      </w:r>
      <w:r>
        <w:rPr>
          <w:rFonts w:ascii="Avenir" w:hAnsi="Avenir"/>
          <w:b/>
          <w:color w:val="FFFFFF"/>
          <w:spacing w:val="-3"/>
          <w:w w:val="105"/>
          <w:sz w:val="25"/>
        </w:rPr>
        <w:t>work?</w: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9"/>
        <w:rPr>
          <w:rFonts w:ascii="Avenir"/>
          <w:b/>
          <w:sz w:val="15"/>
        </w:rPr>
      </w:pPr>
    </w:p>
    <w:p>
      <w:pPr>
        <w:spacing w:line="216" w:lineRule="auto" w:before="133"/>
        <w:ind w:left="6836" w:right="1193" w:hanging="1"/>
        <w:jc w:val="center"/>
        <w:rPr>
          <w:rFonts w:ascii="Avenir"/>
          <w:b/>
          <w:sz w:val="25"/>
        </w:rPr>
      </w:pPr>
      <w:r>
        <w:rPr>
          <w:rFonts w:ascii="Avenir"/>
          <w:b/>
          <w:color w:val="FFFFFF"/>
          <w:spacing w:val="-4"/>
          <w:w w:val="105"/>
          <w:sz w:val="25"/>
        </w:rPr>
        <w:t>Are </w:t>
      </w:r>
      <w:r>
        <w:rPr>
          <w:rFonts w:ascii="Avenir"/>
          <w:b/>
          <w:color w:val="FFFFFF"/>
          <w:spacing w:val="-3"/>
          <w:w w:val="105"/>
          <w:sz w:val="25"/>
        </w:rPr>
        <w:t>training commissioners entering into </w:t>
      </w:r>
      <w:r>
        <w:rPr>
          <w:rFonts w:ascii="Avenir"/>
          <w:b/>
          <w:color w:val="FFFFFF"/>
          <w:spacing w:val="-4"/>
          <w:w w:val="105"/>
          <w:sz w:val="25"/>
        </w:rPr>
        <w:t>agreements </w:t>
      </w:r>
      <w:r>
        <w:rPr>
          <w:rFonts w:ascii="Avenir"/>
          <w:b/>
          <w:color w:val="FFFFFF"/>
          <w:spacing w:val="-3"/>
          <w:w w:val="105"/>
          <w:sz w:val="25"/>
        </w:rPr>
        <w:t>with individual </w:t>
      </w:r>
      <w:r>
        <w:rPr>
          <w:rFonts w:ascii="Avenir"/>
          <w:b/>
          <w:color w:val="FFFFFF"/>
          <w:w w:val="105"/>
          <w:sz w:val="25"/>
        </w:rPr>
        <w:t>learners </w:t>
      </w:r>
      <w:r>
        <w:rPr>
          <w:rFonts w:ascii="Avenir"/>
          <w:b/>
          <w:color w:val="FFFFFF"/>
          <w:spacing w:val="-3"/>
          <w:w w:val="105"/>
          <w:sz w:val="25"/>
        </w:rPr>
        <w:t>and their </w:t>
      </w:r>
      <w:r>
        <w:rPr>
          <w:rFonts w:ascii="Avenir"/>
          <w:b/>
          <w:color w:val="FFFFFF"/>
          <w:spacing w:val="-4"/>
          <w:w w:val="105"/>
          <w:sz w:val="25"/>
        </w:rPr>
        <w:t>organisations</w:t>
      </w:r>
      <w:r>
        <w:rPr>
          <w:rFonts w:ascii="Avenir"/>
          <w:b/>
          <w:color w:val="FFFFFF"/>
          <w:spacing w:val="-53"/>
          <w:w w:val="105"/>
          <w:sz w:val="25"/>
        </w:rPr>
        <w:t> </w:t>
      </w:r>
      <w:r>
        <w:rPr>
          <w:rFonts w:ascii="Avenir"/>
          <w:b/>
          <w:color w:val="FFFFFF"/>
          <w:spacing w:val="-3"/>
          <w:w w:val="105"/>
          <w:sz w:val="25"/>
        </w:rPr>
        <w:t>about specific </w:t>
      </w:r>
      <w:r>
        <w:rPr>
          <w:rFonts w:ascii="Avenir"/>
          <w:b/>
          <w:color w:val="FFFFFF"/>
          <w:w w:val="105"/>
          <w:sz w:val="25"/>
        </w:rPr>
        <w:t>learning</w:t>
      </w:r>
      <w:r>
        <w:rPr>
          <w:rFonts w:ascii="Avenir"/>
          <w:b/>
          <w:color w:val="FFFFFF"/>
          <w:spacing w:val="-55"/>
          <w:w w:val="105"/>
          <w:sz w:val="25"/>
        </w:rPr>
        <w:t> </w:t>
      </w:r>
      <w:r>
        <w:rPr>
          <w:rFonts w:ascii="Avenir"/>
          <w:b/>
          <w:color w:val="FFFFFF"/>
          <w:spacing w:val="-3"/>
          <w:w w:val="105"/>
          <w:sz w:val="25"/>
        </w:rPr>
        <w:t>needs?</w: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8"/>
        <w:rPr>
          <w:rFonts w:ascii="Avenir"/>
          <w:b/>
          <w:sz w:val="13"/>
        </w:rPr>
      </w:pPr>
    </w:p>
    <w:p>
      <w:pPr>
        <w:spacing w:line="216" w:lineRule="auto" w:before="133"/>
        <w:ind w:left="2609" w:right="5372" w:firstLine="747"/>
        <w:jc w:val="left"/>
        <w:rPr>
          <w:rFonts w:ascii="Avenir"/>
          <w:b/>
          <w:sz w:val="25"/>
        </w:rPr>
      </w:pPr>
      <w:r>
        <w:rPr>
          <w:rFonts w:ascii="Avenir"/>
          <w:b/>
          <w:color w:val="FFFFFF"/>
          <w:spacing w:val="-4"/>
          <w:w w:val="105"/>
          <w:sz w:val="25"/>
        </w:rPr>
        <w:t>Are </w:t>
      </w:r>
      <w:r>
        <w:rPr>
          <w:rFonts w:ascii="Avenir"/>
          <w:b/>
          <w:color w:val="FFFFFF"/>
          <w:spacing w:val="-3"/>
          <w:w w:val="105"/>
          <w:sz w:val="25"/>
        </w:rPr>
        <w:t>learners encouraged </w:t>
      </w:r>
      <w:r>
        <w:rPr>
          <w:rFonts w:ascii="Avenir"/>
          <w:b/>
          <w:color w:val="FFFFFF"/>
          <w:w w:val="105"/>
          <w:sz w:val="25"/>
        </w:rPr>
        <w:t>to set </w:t>
      </w:r>
      <w:r>
        <w:rPr>
          <w:rFonts w:ascii="Avenir"/>
          <w:b/>
          <w:color w:val="FFFFFF"/>
          <w:spacing w:val="-3"/>
          <w:w w:val="105"/>
          <w:sz w:val="25"/>
        </w:rPr>
        <w:t>out what changes they hope </w:t>
      </w:r>
      <w:r>
        <w:rPr>
          <w:rFonts w:ascii="Avenir"/>
          <w:b/>
          <w:color w:val="FFFFFF"/>
          <w:w w:val="105"/>
          <w:sz w:val="25"/>
        </w:rPr>
        <w:t>to </w:t>
      </w:r>
      <w:r>
        <w:rPr>
          <w:rFonts w:ascii="Avenir"/>
          <w:b/>
          <w:color w:val="FFFFFF"/>
          <w:spacing w:val="-3"/>
          <w:w w:val="105"/>
          <w:sz w:val="25"/>
        </w:rPr>
        <w:t>make </w:t>
      </w:r>
      <w:r>
        <w:rPr>
          <w:rFonts w:ascii="Avenir"/>
          <w:b/>
          <w:color w:val="FFFFFF"/>
          <w:w w:val="105"/>
          <w:sz w:val="25"/>
        </w:rPr>
        <w:t>to </w:t>
      </w:r>
      <w:r>
        <w:rPr>
          <w:rFonts w:ascii="Avenir"/>
          <w:b/>
          <w:color w:val="FFFFFF"/>
          <w:spacing w:val="-3"/>
          <w:w w:val="105"/>
          <w:sz w:val="25"/>
        </w:rPr>
        <w:t>their practice</w:t>
      </w:r>
    </w:p>
    <w:p>
      <w:pPr>
        <w:spacing w:line="322" w:lineRule="exact" w:before="0"/>
        <w:ind w:left="3234" w:right="0" w:firstLine="0"/>
        <w:jc w:val="left"/>
        <w:rPr>
          <w:rFonts w:ascii="Avenir"/>
          <w:b/>
          <w:sz w:val="25"/>
        </w:rPr>
      </w:pPr>
      <w:r>
        <w:rPr>
          <w:rFonts w:ascii="Avenir"/>
          <w:b/>
          <w:color w:val="FFFFFF"/>
          <w:w w:val="105"/>
          <w:sz w:val="25"/>
        </w:rPr>
        <w:t>after training?</w: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1"/>
        <w:rPr>
          <w:rFonts w:ascii="Avenir"/>
          <w:b/>
          <w:sz w:val="29"/>
        </w:rPr>
      </w:pPr>
    </w:p>
    <w:p>
      <w:pPr>
        <w:spacing w:line="216" w:lineRule="auto" w:before="133"/>
        <w:ind w:left="6960" w:right="899" w:firstLine="0"/>
        <w:jc w:val="center"/>
        <w:rPr>
          <w:rFonts w:ascii="Avenir"/>
          <w:b/>
          <w:sz w:val="25"/>
        </w:rPr>
      </w:pPr>
      <w:r>
        <w:rPr>
          <w:rFonts w:ascii="Avenir"/>
          <w:b/>
          <w:color w:val="FFFFFF"/>
          <w:spacing w:val="-4"/>
          <w:w w:val="105"/>
          <w:sz w:val="25"/>
        </w:rPr>
        <w:t>Are organisations providing </w:t>
      </w:r>
      <w:r>
        <w:rPr>
          <w:rFonts w:ascii="Avenir"/>
          <w:b/>
          <w:color w:val="FFFFFF"/>
          <w:spacing w:val="-3"/>
          <w:w w:val="105"/>
          <w:sz w:val="25"/>
        </w:rPr>
        <w:t>opportunities</w:t>
      </w:r>
      <w:r>
        <w:rPr>
          <w:rFonts w:ascii="Avenir"/>
          <w:b/>
          <w:color w:val="FFFFFF"/>
          <w:spacing w:val="-59"/>
          <w:w w:val="105"/>
          <w:sz w:val="25"/>
        </w:rPr>
        <w:t> </w:t>
      </w:r>
      <w:r>
        <w:rPr>
          <w:rFonts w:ascii="Avenir"/>
          <w:b/>
          <w:color w:val="FFFFFF"/>
          <w:spacing w:val="-3"/>
          <w:w w:val="105"/>
          <w:sz w:val="25"/>
        </w:rPr>
        <w:t>to</w:t>
      </w:r>
    </w:p>
    <w:p>
      <w:pPr>
        <w:spacing w:line="216" w:lineRule="auto" w:before="2"/>
        <w:ind w:left="6523" w:right="461" w:hanging="1"/>
        <w:jc w:val="center"/>
        <w:rPr>
          <w:rFonts w:ascii="Avenir"/>
          <w:b/>
          <w:sz w:val="25"/>
        </w:rPr>
      </w:pPr>
      <w:r>
        <w:rPr>
          <w:rFonts w:ascii="Avenir"/>
          <w:b/>
          <w:color w:val="FFFFFF"/>
          <w:w w:val="105"/>
          <w:sz w:val="25"/>
        </w:rPr>
        <w:t>learners to use </w:t>
      </w:r>
      <w:r>
        <w:rPr>
          <w:rFonts w:ascii="Avenir"/>
          <w:b/>
          <w:color w:val="FFFFFF"/>
          <w:spacing w:val="-3"/>
          <w:w w:val="105"/>
          <w:sz w:val="25"/>
        </w:rPr>
        <w:t>their skills and knowledge</w:t>
      </w:r>
      <w:r>
        <w:rPr>
          <w:rFonts w:ascii="Avenir"/>
          <w:b/>
          <w:color w:val="FFFFFF"/>
          <w:spacing w:val="-31"/>
          <w:w w:val="105"/>
          <w:sz w:val="25"/>
        </w:rPr>
        <w:t> </w:t>
      </w:r>
      <w:r>
        <w:rPr>
          <w:rFonts w:ascii="Avenir"/>
          <w:b/>
          <w:color w:val="FFFFFF"/>
          <w:w w:val="105"/>
          <w:sz w:val="25"/>
        </w:rPr>
        <w:t>and</w:t>
      </w:r>
      <w:r>
        <w:rPr>
          <w:rFonts w:ascii="Avenir"/>
          <w:b/>
          <w:color w:val="FFFFFF"/>
          <w:spacing w:val="-31"/>
          <w:w w:val="105"/>
          <w:sz w:val="25"/>
        </w:rPr>
        <w:t> </w:t>
      </w:r>
      <w:r>
        <w:rPr>
          <w:rFonts w:ascii="Avenir"/>
          <w:b/>
          <w:color w:val="FFFFFF"/>
          <w:spacing w:val="-4"/>
          <w:w w:val="105"/>
          <w:sz w:val="25"/>
        </w:rPr>
        <w:t>provide</w:t>
      </w:r>
      <w:r>
        <w:rPr>
          <w:rFonts w:ascii="Avenir"/>
          <w:b/>
          <w:color w:val="FFFFFF"/>
          <w:spacing w:val="-31"/>
          <w:w w:val="105"/>
          <w:sz w:val="25"/>
        </w:rPr>
        <w:t> </w:t>
      </w:r>
      <w:r>
        <w:rPr>
          <w:rFonts w:ascii="Avenir"/>
          <w:b/>
          <w:color w:val="FFFFFF"/>
          <w:spacing w:val="-3"/>
          <w:w w:val="105"/>
          <w:sz w:val="25"/>
        </w:rPr>
        <w:t>examples </w:t>
      </w:r>
      <w:r>
        <w:rPr>
          <w:rFonts w:ascii="Avenir"/>
          <w:b/>
          <w:color w:val="FFFFFF"/>
          <w:w w:val="105"/>
          <w:sz w:val="25"/>
        </w:rPr>
        <w:t>(at</w:t>
      </w:r>
      <w:r>
        <w:rPr>
          <w:rFonts w:ascii="Avenir"/>
          <w:b/>
          <w:color w:val="FFFFFF"/>
          <w:spacing w:val="-18"/>
          <w:w w:val="105"/>
          <w:sz w:val="25"/>
        </w:rPr>
        <w:t> </w:t>
      </w:r>
      <w:r>
        <w:rPr>
          <w:rFonts w:ascii="Avenir"/>
          <w:b/>
          <w:color w:val="FFFFFF"/>
          <w:w w:val="105"/>
          <w:sz w:val="25"/>
        </w:rPr>
        <w:t>a</w:t>
      </w:r>
      <w:r>
        <w:rPr>
          <w:rFonts w:ascii="Avenir"/>
          <w:b/>
          <w:color w:val="FFFFFF"/>
          <w:spacing w:val="-17"/>
          <w:w w:val="105"/>
          <w:sz w:val="25"/>
        </w:rPr>
        <w:t> </w:t>
      </w:r>
      <w:r>
        <w:rPr>
          <w:rFonts w:ascii="Avenir"/>
          <w:b/>
          <w:color w:val="FFFFFF"/>
          <w:spacing w:val="-3"/>
          <w:w w:val="105"/>
          <w:sz w:val="25"/>
        </w:rPr>
        <w:t>later</w:t>
      </w:r>
      <w:r>
        <w:rPr>
          <w:rFonts w:ascii="Avenir"/>
          <w:b/>
          <w:color w:val="FFFFFF"/>
          <w:spacing w:val="-17"/>
          <w:w w:val="105"/>
          <w:sz w:val="25"/>
        </w:rPr>
        <w:t> </w:t>
      </w:r>
      <w:r>
        <w:rPr>
          <w:rFonts w:ascii="Avenir"/>
          <w:b/>
          <w:color w:val="FFFFFF"/>
          <w:spacing w:val="-3"/>
          <w:w w:val="105"/>
          <w:sz w:val="25"/>
        </w:rPr>
        <w:t>date)</w:t>
      </w:r>
      <w:r>
        <w:rPr>
          <w:rFonts w:ascii="Avenir"/>
          <w:b/>
          <w:color w:val="FFFFFF"/>
          <w:spacing w:val="-18"/>
          <w:w w:val="105"/>
          <w:sz w:val="25"/>
        </w:rPr>
        <w:t> </w:t>
      </w:r>
      <w:r>
        <w:rPr>
          <w:rFonts w:ascii="Avenir"/>
          <w:b/>
          <w:color w:val="FFFFFF"/>
          <w:w w:val="105"/>
          <w:sz w:val="25"/>
        </w:rPr>
        <w:t>of</w:t>
      </w:r>
      <w:r>
        <w:rPr>
          <w:rFonts w:ascii="Avenir"/>
          <w:b/>
          <w:color w:val="FFFFFF"/>
          <w:spacing w:val="-17"/>
          <w:w w:val="105"/>
          <w:sz w:val="25"/>
        </w:rPr>
        <w:t> </w:t>
      </w:r>
      <w:r>
        <w:rPr>
          <w:rFonts w:ascii="Avenir"/>
          <w:b/>
          <w:color w:val="FFFFFF"/>
          <w:spacing w:val="-3"/>
          <w:w w:val="105"/>
          <w:sz w:val="25"/>
        </w:rPr>
        <w:t>whether</w:t>
      </w:r>
      <w:r>
        <w:rPr>
          <w:rFonts w:ascii="Avenir"/>
          <w:b/>
          <w:color w:val="FFFFFF"/>
          <w:spacing w:val="-17"/>
          <w:w w:val="105"/>
          <w:sz w:val="25"/>
        </w:rPr>
        <w:t> </w:t>
      </w:r>
      <w:r>
        <w:rPr>
          <w:rFonts w:ascii="Avenir"/>
          <w:b/>
          <w:color w:val="FFFFFF"/>
          <w:w w:val="105"/>
          <w:sz w:val="25"/>
        </w:rPr>
        <w:t>or</w:t>
      </w:r>
      <w:r>
        <w:rPr>
          <w:rFonts w:ascii="Avenir"/>
          <w:b/>
          <w:color w:val="FFFFFF"/>
          <w:spacing w:val="-18"/>
          <w:w w:val="105"/>
          <w:sz w:val="25"/>
        </w:rPr>
        <w:t> </w:t>
      </w:r>
      <w:r>
        <w:rPr>
          <w:rFonts w:ascii="Avenir"/>
          <w:b/>
          <w:color w:val="FFFFFF"/>
          <w:spacing w:val="-3"/>
          <w:w w:val="105"/>
          <w:sz w:val="25"/>
        </w:rPr>
        <w:t>not anyone</w:t>
      </w:r>
      <w:r>
        <w:rPr>
          <w:rFonts w:ascii="Avenir"/>
          <w:b/>
          <w:color w:val="FFFFFF"/>
          <w:spacing w:val="-14"/>
          <w:w w:val="105"/>
          <w:sz w:val="25"/>
        </w:rPr>
        <w:t> </w:t>
      </w:r>
      <w:r>
        <w:rPr>
          <w:rFonts w:ascii="Avenir"/>
          <w:b/>
          <w:color w:val="FFFFFF"/>
          <w:w w:val="105"/>
          <w:sz w:val="25"/>
        </w:rPr>
        <w:t>is</w:t>
      </w:r>
      <w:r>
        <w:rPr>
          <w:rFonts w:ascii="Avenir"/>
          <w:b/>
          <w:color w:val="FFFFFF"/>
          <w:spacing w:val="-14"/>
          <w:w w:val="105"/>
          <w:sz w:val="25"/>
        </w:rPr>
        <w:t> </w:t>
      </w:r>
      <w:r>
        <w:rPr>
          <w:rFonts w:ascii="Avenir"/>
          <w:b/>
          <w:color w:val="FFFFFF"/>
          <w:spacing w:val="-3"/>
          <w:w w:val="105"/>
          <w:sz w:val="25"/>
        </w:rPr>
        <w:t>better</w:t>
      </w:r>
      <w:r>
        <w:rPr>
          <w:rFonts w:ascii="Avenir"/>
          <w:b/>
          <w:color w:val="FFFFFF"/>
          <w:spacing w:val="-14"/>
          <w:w w:val="105"/>
          <w:sz w:val="25"/>
        </w:rPr>
        <w:t> </w:t>
      </w:r>
      <w:r>
        <w:rPr>
          <w:rFonts w:ascii="Avenir"/>
          <w:b/>
          <w:color w:val="FFFFFF"/>
          <w:spacing w:val="-4"/>
          <w:w w:val="105"/>
          <w:sz w:val="25"/>
        </w:rPr>
        <w:t>off</w:t>
      </w:r>
      <w:r>
        <w:rPr>
          <w:rFonts w:ascii="Avenir"/>
          <w:b/>
          <w:color w:val="FFFFFF"/>
          <w:spacing w:val="-14"/>
          <w:w w:val="105"/>
          <w:sz w:val="25"/>
        </w:rPr>
        <w:t> </w:t>
      </w:r>
      <w:r>
        <w:rPr>
          <w:rFonts w:ascii="Avenir"/>
          <w:b/>
          <w:color w:val="FFFFFF"/>
          <w:w w:val="105"/>
          <w:sz w:val="25"/>
        </w:rPr>
        <w:t>as</w:t>
      </w:r>
      <w:r>
        <w:rPr>
          <w:rFonts w:ascii="Avenir"/>
          <w:b/>
          <w:color w:val="FFFFFF"/>
          <w:spacing w:val="-14"/>
          <w:w w:val="105"/>
          <w:sz w:val="25"/>
        </w:rPr>
        <w:t> </w:t>
      </w:r>
      <w:r>
        <w:rPr>
          <w:rFonts w:ascii="Avenir"/>
          <w:b/>
          <w:color w:val="FFFFFF"/>
          <w:w w:val="105"/>
          <w:sz w:val="25"/>
        </w:rPr>
        <w:t>a</w:t>
      </w:r>
      <w:r>
        <w:rPr>
          <w:rFonts w:ascii="Avenir"/>
          <w:b/>
          <w:color w:val="FFFFFF"/>
          <w:spacing w:val="-14"/>
          <w:w w:val="105"/>
          <w:sz w:val="25"/>
        </w:rPr>
        <w:t> </w:t>
      </w:r>
      <w:r>
        <w:rPr>
          <w:rFonts w:ascii="Avenir"/>
          <w:b/>
          <w:color w:val="FFFFFF"/>
          <w:spacing w:val="-4"/>
          <w:w w:val="105"/>
          <w:sz w:val="25"/>
        </w:rPr>
        <w:t>result</w:t>
      </w:r>
    </w:p>
    <w:p>
      <w:pPr>
        <w:spacing w:line="322" w:lineRule="exact" w:before="0"/>
        <w:ind w:left="6803" w:right="744" w:firstLine="0"/>
        <w:jc w:val="center"/>
        <w:rPr>
          <w:rFonts w:ascii="Avenir"/>
          <w:b/>
          <w:sz w:val="25"/>
        </w:rPr>
      </w:pPr>
      <w:r>
        <w:rPr>
          <w:rFonts w:ascii="Avenir"/>
          <w:b/>
          <w:color w:val="FFFFFF"/>
          <w:w w:val="105"/>
          <w:sz w:val="25"/>
        </w:rPr>
        <w:t>of their training?</w:t>
      </w:r>
    </w:p>
    <w:p>
      <w:pPr>
        <w:spacing w:after="0" w:line="322" w:lineRule="exact"/>
        <w:jc w:val="center"/>
        <w:rPr>
          <w:rFonts w:ascii="Avenir"/>
          <w:sz w:val="25"/>
        </w:rPr>
        <w:sectPr>
          <w:pgSz w:w="11910" w:h="16840"/>
          <w:pgMar w:top="0" w:bottom="0" w:left="320" w:right="560"/>
        </w:sectPr>
      </w:pPr>
    </w:p>
    <w:p>
      <w:pPr>
        <w:pStyle w:val="BodyText"/>
        <w:rPr>
          <w:rFonts w:ascii="Avenir"/>
          <w:b/>
          <w:sz w:val="20"/>
        </w:rPr>
      </w:pPr>
      <w:r>
        <w:rPr/>
        <w:pict>
          <v:rect style="position:absolute;margin-left:566.929016pt;margin-top:0pt;width:28.347001pt;height:841.890015pt;mso-position-horizontal-relative:page;mso-position-vertical-relative:page;z-index:15879680" filled="true" fillcolor="#3b957d" stroked="false">
            <v:fill type="solid"/>
            <w10:wrap type="none"/>
          </v:rect>
        </w:pict>
      </w:r>
      <w:r>
        <w:rPr/>
        <w:pict>
          <v:shape style="position:absolute;margin-left:573.765198pt;margin-top:182.052719pt;width:15.7pt;height:477.8pt;mso-position-horizontal-relative:page;mso-position-vertical-relative:page;z-index:15880192"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p>
    <w:p>
      <w:pPr>
        <w:pStyle w:val="BodyText"/>
        <w:spacing w:before="2"/>
        <w:rPr>
          <w:rFonts w:ascii="Avenir"/>
          <w:b/>
          <w:sz w:val="21"/>
        </w:rPr>
      </w:pPr>
    </w:p>
    <w:p>
      <w:pPr>
        <w:tabs>
          <w:tab w:pos="10338" w:val="right" w:leader="none"/>
        </w:tabs>
        <w:spacing w:before="100"/>
        <w:ind w:left="360" w:right="0" w:firstLine="0"/>
        <w:jc w:val="left"/>
        <w:rPr>
          <w:sz w:val="16"/>
        </w:rPr>
      </w:pPr>
      <w:r>
        <w:rPr>
          <w:color w:val="231F20"/>
          <w:sz w:val="16"/>
        </w:rPr>
        <w:t>Annual Report 2017-18</w:t>
        <w:tab/>
        <w:t>47</w:t>
      </w:r>
    </w:p>
    <w:p>
      <w:pPr>
        <w:pStyle w:val="BodyText"/>
        <w:rPr>
          <w:sz w:val="48"/>
        </w:rPr>
      </w:pPr>
    </w:p>
    <w:p>
      <w:pPr>
        <w:pStyle w:val="BodyText"/>
        <w:spacing w:before="3"/>
        <w:rPr>
          <w:sz w:val="46"/>
        </w:rPr>
      </w:pPr>
    </w:p>
    <w:p>
      <w:pPr>
        <w:pStyle w:val="Heading1"/>
        <w:spacing w:line="211" w:lineRule="auto" w:before="0"/>
        <w:ind w:right="684"/>
      </w:pPr>
      <w:r>
        <w:rPr>
          <w:color w:val="3B957D"/>
        </w:rPr>
        <w:t>How the Safeguarding Boards have implemented any guidance or advice given by the Welsh Government or the National Board</w:t>
      </w:r>
    </w:p>
    <w:p>
      <w:pPr>
        <w:pStyle w:val="BodyText"/>
        <w:spacing w:line="230" w:lineRule="auto" w:before="235"/>
        <w:ind w:left="360" w:right="734"/>
      </w:pPr>
      <w:r>
        <w:rPr>
          <w:color w:val="231F20"/>
        </w:rPr>
        <w:t>The Regional Boards send their Practice Reviews to the Welsh Government,</w:t>
      </w:r>
      <w:r>
        <w:rPr>
          <w:color w:val="231F20"/>
          <w:position w:val="7"/>
          <w:sz w:val="13"/>
        </w:rPr>
        <w:t>5 </w:t>
      </w:r>
      <w:r>
        <w:rPr>
          <w:color w:val="231F20"/>
        </w:rPr>
        <w:t>the Chairs have regular meetings with the Welsh Government and the Children’s Boards have prioritised ways of tackling Child Sexual Exploitation (CSE).</w:t>
      </w:r>
    </w:p>
    <w:p>
      <w:pPr>
        <w:pStyle w:val="BodyText"/>
        <w:spacing w:before="3" w:after="1"/>
      </w:pPr>
    </w:p>
    <w:tbl>
      <w:tblPr>
        <w:tblW w:w="0" w:type="auto"/>
        <w:jc w:val="left"/>
        <w:tblInd w:w="3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63"/>
        <w:gridCol w:w="8515"/>
      </w:tblGrid>
      <w:tr>
        <w:trPr>
          <w:trHeight w:val="550" w:hRule="atLeast"/>
        </w:trPr>
        <w:tc>
          <w:tcPr>
            <w:tcW w:w="1463" w:type="dxa"/>
            <w:tcBorders>
              <w:top w:val="nil"/>
              <w:left w:val="nil"/>
            </w:tcBorders>
            <w:shd w:val="clear" w:color="auto" w:fill="3B957D"/>
          </w:tcPr>
          <w:p>
            <w:pPr>
              <w:pStyle w:val="TableParagraph"/>
              <w:rPr>
                <w:rFonts w:ascii="Times New Roman"/>
                <w:sz w:val="20"/>
              </w:rPr>
            </w:pPr>
          </w:p>
        </w:tc>
        <w:tc>
          <w:tcPr>
            <w:tcW w:w="8515" w:type="dxa"/>
            <w:tcBorders>
              <w:top w:val="nil"/>
              <w:right w:val="nil"/>
            </w:tcBorders>
            <w:shd w:val="clear" w:color="auto" w:fill="3B957D"/>
          </w:tcPr>
          <w:p>
            <w:pPr>
              <w:pStyle w:val="TableParagraph"/>
              <w:spacing w:before="170"/>
              <w:ind w:left="160"/>
              <w:rPr>
                <w:rFonts w:ascii="Avenir"/>
                <w:b/>
                <w:sz w:val="22"/>
              </w:rPr>
            </w:pPr>
            <w:r>
              <w:rPr>
                <w:rFonts w:ascii="Avenir"/>
                <w:b/>
                <w:color w:val="FFFFFF"/>
                <w:sz w:val="22"/>
              </w:rPr>
              <w:t>Implementation of Guidance or Advice</w:t>
            </w:r>
          </w:p>
        </w:tc>
      </w:tr>
      <w:tr>
        <w:trPr>
          <w:trHeight w:val="1660" w:hRule="atLeast"/>
        </w:trPr>
        <w:tc>
          <w:tcPr>
            <w:tcW w:w="1463" w:type="dxa"/>
            <w:tcBorders>
              <w:left w:val="nil"/>
            </w:tcBorders>
            <w:shd w:val="clear" w:color="auto" w:fill="3B957D"/>
          </w:tcPr>
          <w:p>
            <w:pPr>
              <w:pStyle w:val="TableParagraph"/>
              <w:spacing w:line="223" w:lineRule="auto" w:before="175"/>
              <w:ind w:left="400" w:firstLine="183"/>
              <w:rPr>
                <w:rFonts w:ascii="Avenir"/>
                <w:b/>
                <w:sz w:val="22"/>
              </w:rPr>
            </w:pPr>
            <w:r>
              <w:rPr>
                <w:rFonts w:ascii="Avenir"/>
                <w:b/>
                <w:color w:val="FFFFFF"/>
                <w:sz w:val="22"/>
              </w:rPr>
              <w:t>Cardiff and Vale</w:t>
            </w:r>
          </w:p>
        </w:tc>
        <w:tc>
          <w:tcPr>
            <w:tcW w:w="8515" w:type="dxa"/>
            <w:tcBorders>
              <w:right w:val="nil"/>
            </w:tcBorders>
            <w:shd w:val="clear" w:color="auto" w:fill="3B957D"/>
          </w:tcPr>
          <w:p>
            <w:pPr>
              <w:pStyle w:val="TableParagraph"/>
              <w:spacing w:line="230" w:lineRule="auto" w:before="169"/>
              <w:ind w:left="160" w:right="967"/>
              <w:jc w:val="both"/>
              <w:rPr>
                <w:sz w:val="22"/>
              </w:rPr>
            </w:pPr>
            <w:r>
              <w:rPr>
                <w:color w:val="FFFFFF"/>
                <w:sz w:val="22"/>
              </w:rPr>
              <w:t>The National Independent Safeguarding Board has run a number of events at which Cardiff and </w:t>
            </w:r>
            <w:r>
              <w:rPr>
                <w:color w:val="FFFFFF"/>
                <w:spacing w:val="-4"/>
                <w:sz w:val="22"/>
              </w:rPr>
              <w:t>Vale </w:t>
            </w:r>
            <w:r>
              <w:rPr>
                <w:color w:val="FFFFFF"/>
                <w:sz w:val="22"/>
              </w:rPr>
              <w:t>have been represented…Board members </w:t>
            </w:r>
            <w:r>
              <w:rPr>
                <w:color w:val="FFFFFF"/>
                <w:spacing w:val="-4"/>
                <w:sz w:val="22"/>
              </w:rPr>
              <w:t>address</w:t>
            </w:r>
          </w:p>
          <w:p>
            <w:pPr>
              <w:pStyle w:val="TableParagraph"/>
              <w:spacing w:line="230" w:lineRule="auto"/>
              <w:ind w:left="160" w:right="447"/>
              <w:jc w:val="both"/>
              <w:rPr>
                <w:sz w:val="22"/>
              </w:rPr>
            </w:pPr>
            <w:r>
              <w:rPr>
                <w:color w:val="FFFFFF"/>
                <w:sz w:val="22"/>
              </w:rPr>
              <w:t>recommendations from the National Independent Safeguarding Board and their own concerns surrounding the openness and ability to monitor any issues arising from all individual agencies</w:t>
            </w:r>
          </w:p>
        </w:tc>
      </w:tr>
      <w:tr>
        <w:trPr>
          <w:trHeight w:val="820" w:hRule="atLeast"/>
        </w:trPr>
        <w:tc>
          <w:tcPr>
            <w:tcW w:w="1463" w:type="dxa"/>
            <w:tcBorders>
              <w:left w:val="nil"/>
            </w:tcBorders>
            <w:shd w:val="clear" w:color="auto" w:fill="3B957D"/>
          </w:tcPr>
          <w:p>
            <w:pPr>
              <w:pStyle w:val="TableParagraph"/>
              <w:spacing w:before="160"/>
              <w:ind w:right="158"/>
              <w:jc w:val="right"/>
              <w:rPr>
                <w:rFonts w:ascii="Avenir"/>
                <w:b/>
                <w:sz w:val="22"/>
              </w:rPr>
            </w:pPr>
            <w:r>
              <w:rPr>
                <w:rFonts w:ascii="Avenir"/>
                <w:b/>
                <w:color w:val="FFFFFF"/>
                <w:sz w:val="22"/>
              </w:rPr>
              <w:t>Cwm Taf</w:t>
            </w:r>
          </w:p>
        </w:tc>
        <w:tc>
          <w:tcPr>
            <w:tcW w:w="8515" w:type="dxa"/>
            <w:tcBorders>
              <w:right w:val="nil"/>
            </w:tcBorders>
            <w:shd w:val="clear" w:color="auto" w:fill="3B957D"/>
          </w:tcPr>
          <w:p>
            <w:pPr>
              <w:pStyle w:val="TableParagraph"/>
              <w:spacing w:line="230" w:lineRule="auto" w:before="169"/>
              <w:ind w:left="160"/>
              <w:rPr>
                <w:sz w:val="22"/>
              </w:rPr>
            </w:pPr>
            <w:r>
              <w:rPr>
                <w:color w:val="FFFFFF"/>
                <w:sz w:val="22"/>
              </w:rPr>
              <w:t>The conclusions contained in the National Board’s annual report were considered when developing this year’s annual report and have informed its structure</w:t>
            </w:r>
          </w:p>
        </w:tc>
      </w:tr>
      <w:tr>
        <w:trPr>
          <w:trHeight w:val="1380" w:hRule="atLeast"/>
        </w:trPr>
        <w:tc>
          <w:tcPr>
            <w:tcW w:w="1463" w:type="dxa"/>
            <w:tcBorders>
              <w:left w:val="nil"/>
            </w:tcBorders>
            <w:shd w:val="clear" w:color="auto" w:fill="3B957D"/>
          </w:tcPr>
          <w:p>
            <w:pPr>
              <w:pStyle w:val="TableParagraph"/>
              <w:spacing w:before="160"/>
              <w:ind w:right="158"/>
              <w:jc w:val="right"/>
              <w:rPr>
                <w:rFonts w:ascii="Avenir"/>
                <w:b/>
                <w:sz w:val="22"/>
              </w:rPr>
            </w:pPr>
            <w:r>
              <w:rPr>
                <w:rFonts w:ascii="Avenir"/>
                <w:b/>
                <w:color w:val="FFFFFF"/>
                <w:sz w:val="22"/>
              </w:rPr>
              <w:t>Gwent</w:t>
            </w:r>
          </w:p>
        </w:tc>
        <w:tc>
          <w:tcPr>
            <w:tcW w:w="8515" w:type="dxa"/>
            <w:tcBorders>
              <w:right w:val="nil"/>
            </w:tcBorders>
            <w:shd w:val="clear" w:color="auto" w:fill="3B957D"/>
          </w:tcPr>
          <w:p>
            <w:pPr>
              <w:pStyle w:val="TableParagraph"/>
              <w:spacing w:line="230" w:lineRule="auto" w:before="169"/>
              <w:ind w:left="160" w:right="144"/>
              <w:rPr>
                <w:sz w:val="22"/>
              </w:rPr>
            </w:pPr>
            <w:r>
              <w:rPr>
                <w:color w:val="FFFFFF"/>
                <w:sz w:val="22"/>
              </w:rPr>
              <w:t>The Gwent Boards have participated fully in national events…the project Board for the production of the All Wales Safeguarding Procedures, National Independent Safeguarding Board Leadership summit meetings…receive regular updates from the NISB link member in respect of practice such as Elective Home Education</w:t>
            </w:r>
          </w:p>
        </w:tc>
      </w:tr>
      <w:tr>
        <w:trPr>
          <w:trHeight w:val="1380" w:hRule="atLeast"/>
        </w:trPr>
        <w:tc>
          <w:tcPr>
            <w:tcW w:w="1463" w:type="dxa"/>
            <w:tcBorders>
              <w:left w:val="nil"/>
            </w:tcBorders>
            <w:shd w:val="clear" w:color="auto" w:fill="3B957D"/>
          </w:tcPr>
          <w:p>
            <w:pPr>
              <w:pStyle w:val="TableParagraph"/>
              <w:spacing w:line="290" w:lineRule="exact" w:before="160"/>
              <w:ind w:left="441"/>
              <w:rPr>
                <w:rFonts w:ascii="Avenir"/>
                <w:b/>
                <w:sz w:val="22"/>
              </w:rPr>
            </w:pPr>
            <w:r>
              <w:rPr>
                <w:rFonts w:ascii="Avenir"/>
                <w:b/>
                <w:color w:val="FFFFFF"/>
                <w:sz w:val="22"/>
              </w:rPr>
              <w:t>Mid and</w:t>
            </w:r>
          </w:p>
          <w:p>
            <w:pPr>
              <w:pStyle w:val="TableParagraph"/>
              <w:spacing w:line="223" w:lineRule="auto" w:before="5"/>
              <w:ind w:left="677" w:right="141" w:firstLine="81"/>
              <w:rPr>
                <w:rFonts w:ascii="Avenir"/>
                <w:b/>
                <w:sz w:val="22"/>
              </w:rPr>
            </w:pPr>
            <w:r>
              <w:rPr>
                <w:rFonts w:ascii="Avenir"/>
                <w:b/>
                <w:color w:val="FFFFFF"/>
                <w:spacing w:val="-1"/>
                <w:sz w:val="22"/>
              </w:rPr>
              <w:t>West </w:t>
            </w:r>
            <w:r>
              <w:rPr>
                <w:rFonts w:ascii="Avenir"/>
                <w:b/>
                <w:color w:val="FFFFFF"/>
                <w:spacing w:val="-2"/>
                <w:sz w:val="22"/>
              </w:rPr>
              <w:t>Wales</w:t>
            </w:r>
          </w:p>
        </w:tc>
        <w:tc>
          <w:tcPr>
            <w:tcW w:w="8515" w:type="dxa"/>
            <w:tcBorders>
              <w:right w:val="nil"/>
            </w:tcBorders>
            <w:shd w:val="clear" w:color="auto" w:fill="3B957D"/>
          </w:tcPr>
          <w:p>
            <w:pPr>
              <w:pStyle w:val="TableParagraph"/>
              <w:spacing w:line="230" w:lineRule="auto" w:before="169"/>
              <w:ind w:left="160" w:right="236"/>
              <w:rPr>
                <w:sz w:val="22"/>
              </w:rPr>
            </w:pPr>
            <w:r>
              <w:rPr>
                <w:color w:val="FFFFFF"/>
                <w:sz w:val="22"/>
              </w:rPr>
              <w:t>…the National Independent Safeguarding Board…have supported the CYSUR in its continuing work on Elective Home Education…has considered and acted upon feedback and advice on how the Board can better demonstrate the good work undertaken and the positive outcomes achieved in the delivery of its annual report</w:t>
            </w:r>
          </w:p>
        </w:tc>
      </w:tr>
      <w:tr>
        <w:trPr>
          <w:trHeight w:val="1100" w:hRule="atLeast"/>
        </w:trPr>
        <w:tc>
          <w:tcPr>
            <w:tcW w:w="1463" w:type="dxa"/>
            <w:tcBorders>
              <w:left w:val="nil"/>
            </w:tcBorders>
            <w:shd w:val="clear" w:color="auto" w:fill="3B957D"/>
          </w:tcPr>
          <w:p>
            <w:pPr>
              <w:pStyle w:val="TableParagraph"/>
              <w:spacing w:line="223" w:lineRule="auto" w:before="175"/>
              <w:ind w:left="677" w:hanging="4"/>
              <w:rPr>
                <w:rFonts w:ascii="Avenir"/>
                <w:b/>
                <w:sz w:val="22"/>
              </w:rPr>
            </w:pPr>
            <w:r>
              <w:rPr>
                <w:rFonts w:ascii="Avenir"/>
                <w:b/>
                <w:color w:val="FFFFFF"/>
                <w:sz w:val="22"/>
              </w:rPr>
              <w:t>North Wales</w:t>
            </w:r>
          </w:p>
        </w:tc>
        <w:tc>
          <w:tcPr>
            <w:tcW w:w="8515" w:type="dxa"/>
            <w:tcBorders>
              <w:right w:val="nil"/>
            </w:tcBorders>
            <w:shd w:val="clear" w:color="auto" w:fill="3B957D"/>
          </w:tcPr>
          <w:p>
            <w:pPr>
              <w:pStyle w:val="TableParagraph"/>
              <w:spacing w:line="230" w:lineRule="auto" w:before="169"/>
              <w:ind w:left="160"/>
              <w:rPr>
                <w:sz w:val="22"/>
              </w:rPr>
            </w:pPr>
            <w:r>
              <w:rPr>
                <w:color w:val="FFFFFF"/>
                <w:sz w:val="22"/>
              </w:rPr>
              <w:t>Re the National Independent Safeguarding Board report on Home Educated Children. A presentation was received at the Board and then shared with the local delivery groups</w:t>
            </w:r>
          </w:p>
        </w:tc>
      </w:tr>
      <w:tr>
        <w:trPr>
          <w:trHeight w:val="830" w:hRule="atLeast"/>
        </w:trPr>
        <w:tc>
          <w:tcPr>
            <w:tcW w:w="1463" w:type="dxa"/>
            <w:tcBorders>
              <w:left w:val="nil"/>
              <w:bottom w:val="nil"/>
            </w:tcBorders>
            <w:shd w:val="clear" w:color="auto" w:fill="3B957D"/>
          </w:tcPr>
          <w:p>
            <w:pPr>
              <w:pStyle w:val="TableParagraph"/>
              <w:spacing w:line="290" w:lineRule="exact" w:before="160"/>
              <w:ind w:left="413"/>
              <w:rPr>
                <w:rFonts w:ascii="Avenir"/>
                <w:b/>
                <w:sz w:val="22"/>
              </w:rPr>
            </w:pPr>
            <w:r>
              <w:rPr>
                <w:rFonts w:ascii="Avenir"/>
                <w:b/>
                <w:color w:val="FFFFFF"/>
                <w:sz w:val="22"/>
              </w:rPr>
              <w:t>Western</w:t>
            </w:r>
          </w:p>
          <w:p>
            <w:pPr>
              <w:pStyle w:val="TableParagraph"/>
              <w:spacing w:line="290" w:lineRule="exact"/>
              <w:ind w:left="909"/>
              <w:rPr>
                <w:rFonts w:ascii="Avenir"/>
                <w:b/>
                <w:sz w:val="22"/>
              </w:rPr>
            </w:pPr>
            <w:r>
              <w:rPr>
                <w:rFonts w:ascii="Avenir"/>
                <w:b/>
                <w:color w:val="FFFFFF"/>
                <w:sz w:val="22"/>
              </w:rPr>
              <w:t>Bay</w:t>
            </w:r>
          </w:p>
        </w:tc>
        <w:tc>
          <w:tcPr>
            <w:tcW w:w="8515" w:type="dxa"/>
            <w:tcBorders>
              <w:bottom w:val="nil"/>
              <w:right w:val="nil"/>
            </w:tcBorders>
            <w:shd w:val="clear" w:color="auto" w:fill="3B957D"/>
          </w:tcPr>
          <w:p>
            <w:pPr>
              <w:pStyle w:val="TableParagraph"/>
              <w:spacing w:line="286" w:lineRule="exact" w:before="160"/>
              <w:ind w:left="160"/>
              <w:rPr>
                <w:sz w:val="22"/>
              </w:rPr>
            </w:pPr>
            <w:r>
              <w:rPr>
                <w:color w:val="FFFFFF"/>
                <w:sz w:val="22"/>
              </w:rPr>
              <w:t>The NISB summit was informative and inclusive and provided advice and guidance</w:t>
            </w:r>
          </w:p>
          <w:p>
            <w:pPr>
              <w:pStyle w:val="TableParagraph"/>
              <w:spacing w:line="286" w:lineRule="exact"/>
              <w:ind w:left="160"/>
              <w:rPr>
                <w:sz w:val="22"/>
              </w:rPr>
            </w:pPr>
            <w:r>
              <w:rPr>
                <w:color w:val="FFFFFF"/>
                <w:sz w:val="22"/>
              </w:rPr>
              <w:t>on leadership</w:t>
            </w:r>
          </w:p>
        </w:tc>
      </w:tr>
    </w:tbl>
    <w:p>
      <w:pPr>
        <w:pStyle w:val="BodyText"/>
        <w:rPr>
          <w:sz w:val="20"/>
        </w:rPr>
      </w:pPr>
    </w:p>
    <w:p>
      <w:pPr>
        <w:pStyle w:val="BodyText"/>
        <w:rPr>
          <w:sz w:val="20"/>
        </w:rPr>
      </w:pPr>
    </w:p>
    <w:p>
      <w:pPr>
        <w:pStyle w:val="BodyText"/>
        <w:spacing w:before="2"/>
        <w:rPr>
          <w:sz w:val="28"/>
        </w:rPr>
      </w:pPr>
      <w:r>
        <w:rPr/>
        <w:pict>
          <v:group style="position:absolute;margin-left:25.6499pt;margin-top:20.622pt;width:377.2pt;height:89.8pt;mso-position-horizontal-relative:page;mso-position-vertical-relative:paragraph;z-index:-15578624;mso-wrap-distance-left:0;mso-wrap-distance-right:0" coordorigin="513,412" coordsize="7544,1796">
            <v:shape style="position:absolute;left:1423;top:508;width:6634;height:1612" coordorigin="1423,509" coordsize="6634,1612" path="m7490,509l1990,509,1663,518,1494,580,1432,748,1423,1076,1423,1553,1432,1881,1494,2049,1663,2111,1990,2120,7490,2120,7817,2111,7986,2049,8048,1881,8056,1553,8056,1076,8048,748,7986,580,7817,518,7490,509xe" filled="true" fillcolor="#3e77a4" stroked="false">
              <v:path arrowok="t"/>
              <v:fill type="solid"/>
            </v:shape>
            <v:shape style="position:absolute;left:513;top:412;width:1796;height:1796" coordorigin="513,412" coordsize="1796,1796" path="m1411,412l1337,415,1265,424,1195,439,1127,458,1061,483,998,513,938,547,881,586,827,629,776,675,729,726,686,780,648,837,613,898,584,961,559,1027,539,1095,525,1165,516,1237,513,1310,516,1384,525,1456,539,1526,559,1594,584,1660,613,1723,648,1783,686,1841,729,1895,776,1945,827,1992,881,2035,938,2074,998,2108,1061,2138,1127,2162,1195,2182,1265,2196,1337,2205,1411,2208,1484,2205,1556,2196,1627,2182,1695,2162,1760,2138,1823,2108,1884,2074,1941,2035,1995,1992,2046,1945,2093,1895,2135,1841,2174,1783,2208,1723,2238,1660,2263,1594,2283,1526,2297,1456,2306,1384,2309,1310,2306,1237,2297,1165,2283,1095,2263,1027,2238,961,2208,898,2174,837,2135,780,2093,726,2046,675,1995,629,1941,586,1884,547,1823,513,1760,483,1695,458,1627,439,1556,424,1484,415,1411,412xe" filled="true" fillcolor="#d5583b" stroked="false">
              <v:path arrowok="t"/>
              <v:fill type="solid"/>
            </v:shape>
            <v:shape style="position:absolute;left:853;top:584;width:1182;height:1402" coordorigin="853,585" coordsize="1182,1402" path="m1131,1087l1124,1042,1033,1056,1040,1100,1131,1087xm1151,927l1071,885,1050,926,1129,967,1151,927xm1182,1201l1157,1162,1081,1211,1106,1249,1182,1201xm1236,839l1186,771,1149,798,1199,867,1236,839xm1356,807l1344,727,1300,733,1311,813,1356,807xm1482,1424l1362,1441,1371,1449,1381,1456,1391,1462,1404,1470,1412,1470,1430,1468,1445,1463,1458,1454,1469,1440,1473,1435,1477,1430,1482,1424xm1491,1338l1488,1318,1480,1313,1330,1334,1325,1341,1327,1362,1335,1367,1410,1356,1485,1346,1491,1338xm1495,1394l1493,1373,1485,1368,1342,1388,1335,1396,1338,1416,1347,1422,1417,1412,1489,1401,1495,1394xm1505,747l1462,731,1433,811,1476,827,1505,747xm1554,1039l1551,1005,1540,964,1522,928,1495,898,1459,875,1422,861,1384,855,1346,856,1307,864,1236,901,1192,957,1174,1026,1186,1102,1195,1124,1206,1144,1219,1164,1233,1182,1264,1221,1279,1242,1293,1264,1304,1287,1310,1313,1354,1307,1354,1302,1354,1298,1339,1256,1333,1244,1320,1220,1304,1198,1270,1156,1257,1138,1244,1120,1234,1100,1226,1078,1220,1034,1227,993,1247,956,1280,926,1302,914,1326,906,1351,901,1377,900,1430,912,1472,941,1499,985,1509,1038,1507,1063,1502,1086,1494,1109,1485,1132,1466,1179,1458,1204,1452,1228,1449,1244,1448,1260,1448,1277,1450,1293,1494,1287,1493,1255,1499,1225,1509,1196,1533,1137,1544,1105,1552,1072,1554,1039xm1636,842l1604,809,1539,871,1571,904,1636,842xm1684,1124l1598,1103,1587,1147,1673,1169,1684,1124xm1694,1006l1688,962,1597,975,1603,1019,1694,1006xm2035,1494l2033,1470,1993,1312,1993,1488,1866,1488,1866,1542,1866,1643,1867,1687,1861,1722,1843,1748,1817,1764,1786,1769,1723,1768,1660,1768,1534,1768,1514,1768,1514,1810,1614,1810,1640,1942,1087,1942,1087,1917,1086,1840,1082,1754,1072,1669,1056,1584,1033,1501,1015,1450,994,1399,973,1349,953,1299,942,1273,930,1248,919,1222,909,1196,904,1181,900,1165,898,1148,897,1132,901,1047,917,969,945,898,983,833,1033,775,1094,724,1166,679,1231,651,1298,634,1367,628,1438,630,1512,642,1580,664,1641,695,1695,736,1744,784,1786,841,1823,906,1848,963,1870,1021,1887,1081,1903,1141,1925,1224,1946,1307,1990,1477,1991,1481,1993,1488,1993,1312,1970,1226,1949,1145,1928,1063,1907,995,1882,928,1851,864,1813,804,1760,739,1700,685,1633,643,1597,628,1558,612,1476,593,1417,585,1379,585,1350,588,1319,590,1303,592,1288,594,1211,615,1141,644,1078,682,1022,728,972,782,929,844,893,915,870,980,856,1045,853,1113,863,1181,872,1212,883,1243,896,1274,910,1304,944,1383,975,1462,1002,1542,1023,1624,1036,1709,1042,1778,1045,1848,1046,1917,1042,1986,1691,1986,1682,1942,1656,1811,1674,1811,1733,1811,1780,1811,1793,1811,1834,1803,1868,1782,1879,1769,1893,1750,1904,1711,1906,1677,1906,1643,1906,1531,1913,1530,1918,1530,1942,1530,1972,1530,1985,1530,1988,1530,2011,1525,2027,1513,2035,1494xe" filled="true" fillcolor="#ffffff" stroked="false">
              <v:path arrowok="t"/>
              <v:fill type="solid"/>
            </v:shape>
            <v:line style="position:absolute" from="2557,1156" to="7816,1156" stroked="true" strokeweight="1pt" strokecolor="#ffffff">
              <v:stroke dashstyle="solid"/>
            </v:line>
            <v:shape style="position:absolute;left:513;top:412;width:7544;height:1796" type="#_x0000_t202" filled="false" stroked="false">
              <v:textbox inset="0,0,0,0">
                <w:txbxContent>
                  <w:p>
                    <w:pPr>
                      <w:spacing w:before="283"/>
                      <w:ind w:left="2044" w:right="0" w:firstLine="0"/>
                      <w:jc w:val="left"/>
                      <w:rPr>
                        <w:rFonts w:ascii="Avenir"/>
                        <w:b/>
                        <w:sz w:val="28"/>
                      </w:rPr>
                    </w:pPr>
                    <w:r>
                      <w:rPr>
                        <w:rFonts w:ascii="Avenir"/>
                        <w:b/>
                        <w:color w:val="FFFFFF"/>
                        <w:sz w:val="28"/>
                      </w:rPr>
                      <w:t>DID YOU KNOW?</w:t>
                    </w:r>
                  </w:p>
                  <w:p>
                    <w:pPr>
                      <w:spacing w:line="278" w:lineRule="exact" w:before="225"/>
                      <w:ind w:left="2044" w:right="0" w:firstLine="0"/>
                      <w:jc w:val="left"/>
                      <w:rPr>
                        <w:sz w:val="22"/>
                      </w:rPr>
                    </w:pPr>
                    <w:r>
                      <w:rPr>
                        <w:color w:val="FFFFFF"/>
                        <w:sz w:val="22"/>
                      </w:rPr>
                      <w:t>Whenever someone tells us what to do and how to</w:t>
                    </w:r>
                  </w:p>
                  <w:p>
                    <w:pPr>
                      <w:spacing w:line="278" w:lineRule="exact" w:before="0"/>
                      <w:ind w:left="2044" w:right="0" w:firstLine="0"/>
                      <w:jc w:val="left"/>
                      <w:rPr>
                        <w:sz w:val="22"/>
                      </w:rPr>
                    </w:pPr>
                    <w:r>
                      <w:rPr>
                        <w:color w:val="FFFFFF"/>
                        <w:sz w:val="22"/>
                      </w:rPr>
                      <w:t>do it we tend to respond with defensive</w:t>
                    </w:r>
                    <w:r>
                      <w:rPr>
                        <w:color w:val="FFFFFF"/>
                        <w:spacing w:val="-4"/>
                        <w:sz w:val="22"/>
                      </w:rPr>
                      <w:t> </w:t>
                    </w:r>
                    <w:r>
                      <w:rPr>
                        <w:color w:val="FFFFFF"/>
                        <w:sz w:val="22"/>
                      </w:rPr>
                      <w:t>defiance…</w:t>
                    </w:r>
                  </w:p>
                </w:txbxContent>
              </v:textbox>
              <w10:wrap type="none"/>
            </v:shape>
            <w10:wrap type="topAndBottom"/>
          </v:group>
        </w:pict>
      </w:r>
    </w:p>
    <w:p>
      <w:pPr>
        <w:pStyle w:val="BodyText"/>
        <w:rPr>
          <w:sz w:val="20"/>
        </w:rPr>
      </w:pPr>
    </w:p>
    <w:p>
      <w:pPr>
        <w:pStyle w:val="BodyText"/>
        <w:spacing w:before="2"/>
        <w:rPr>
          <w:sz w:val="18"/>
        </w:rPr>
      </w:pPr>
      <w:r>
        <w:rPr/>
        <w:pict>
          <v:shape style="position:absolute;margin-left:34.015701pt;margin-top:14.4866pt;width:72pt;height:.1pt;mso-position-horizontal-relative:page;mso-position-vertical-relative:paragraph;z-index:-15578112;mso-wrap-distance-left:0;mso-wrap-distance-right:0" coordorigin="680,290" coordsize="1440,0" path="m680,290l2120,290e" filled="false" stroked="true" strokeweight="1pt" strokecolor="#231f20">
            <v:path arrowok="t"/>
            <v:stroke dashstyle="solid"/>
            <w10:wrap type="topAndBottom"/>
          </v:shape>
        </w:pict>
      </w:r>
    </w:p>
    <w:p>
      <w:pPr>
        <w:pStyle w:val="ListParagraph"/>
        <w:numPr>
          <w:ilvl w:val="0"/>
          <w:numId w:val="28"/>
        </w:numPr>
        <w:tabs>
          <w:tab w:pos="600" w:val="left" w:leader="none"/>
        </w:tabs>
        <w:spacing w:line="232" w:lineRule="auto" w:before="5" w:after="0"/>
        <w:ind w:left="560" w:right="819" w:hanging="200"/>
        <w:jc w:val="left"/>
        <w:rPr>
          <w:sz w:val="14"/>
        </w:rPr>
      </w:pPr>
      <w:r>
        <w:rPr>
          <w:color w:val="231F20"/>
          <w:sz w:val="14"/>
        </w:rPr>
        <w:t>Although </w:t>
      </w:r>
      <w:r>
        <w:rPr>
          <w:rFonts w:ascii="Avenir-BookOblique" w:hAnsi="Avenir-BookOblique"/>
          <w:i/>
          <w:color w:val="231F20"/>
          <w:sz w:val="14"/>
        </w:rPr>
        <w:t>The Safeguarding Board (General) (Wales) Regulations 2015</w:t>
      </w:r>
      <w:r>
        <w:rPr>
          <w:color w:val="231F20"/>
          <w:sz w:val="14"/>
        </w:rPr>
        <w:t>, 4 (5) (k) states that Boards should “provide a copy of the practice review report </w:t>
      </w:r>
      <w:r>
        <w:rPr>
          <w:color w:val="231F20"/>
          <w:spacing w:val="-5"/>
          <w:sz w:val="14"/>
        </w:rPr>
        <w:t>and </w:t>
      </w:r>
      <w:r>
        <w:rPr>
          <w:color w:val="231F20"/>
          <w:sz w:val="14"/>
        </w:rPr>
        <w:t>action plan to the Welsh Ministers and to the National Board” this is not yet embedded in</w:t>
      </w:r>
      <w:r>
        <w:rPr>
          <w:color w:val="231F20"/>
          <w:spacing w:val="-1"/>
          <w:sz w:val="14"/>
        </w:rPr>
        <w:t> </w:t>
      </w:r>
      <w:r>
        <w:rPr>
          <w:color w:val="231F20"/>
          <w:sz w:val="14"/>
        </w:rPr>
        <w:t>practice</w:t>
      </w:r>
    </w:p>
    <w:p>
      <w:pPr>
        <w:spacing w:after="0" w:line="232" w:lineRule="auto"/>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96256" filled="true" fillcolor="#3b957d" stroked="false">
            <v:fill type="solid"/>
            <w10:wrap type="none"/>
          </v:rect>
        </w:pict>
      </w:r>
      <w:r>
        <w:rPr/>
        <w:pict>
          <v:shape style="position:absolute;margin-left:103.809494pt;margin-top:538.778442pt;width:146.5pt;height:21.15pt;mso-position-horizontal-relative:page;mso-position-vertical-relative:page;z-index:15881728;rotation:1" type="#_x0000_t136" fillcolor="#b87b46" stroked="f">
            <o:extrusion v:ext="view" autorotationcenter="t"/>
            <v:textpath style="font-family:&quot;Bradley Hand&quot;;font-size:21pt;v-text-kern:t;mso-text-shadow:auto;font-weight:bold" string="Please help us to"/>
            <w10:wrap type="none"/>
          </v:shape>
        </w:pict>
      </w:r>
      <w:r>
        <w:rPr/>
        <w:pict>
          <v:shape style="position:absolute;margin-left:103.366165pt;margin-top:564.243164pt;width:162.65pt;height:21.15pt;mso-position-horizontal-relative:page;mso-position-vertical-relative:page;z-index:15882240;rotation:1" type="#_x0000_t136" fillcolor="#b87b46" stroked="f">
            <o:extrusion v:ext="view" autorotationcenter="t"/>
            <v:textpath style="font-family:&quot;Bradley Hand&quot;;font-size:21pt;v-text-kern:t;mso-text-shadow:auto;font-weight:bold" string="promote the Adult"/>
            <w10:wrap type="none"/>
          </v:shape>
        </w:pict>
      </w:r>
      <w:r>
        <w:rPr/>
        <w:pict>
          <v:shape style="position:absolute;margin-left:102.925835pt;margin-top:589.375427pt;width:140.7pt;height:21.15pt;mso-position-horizontal-relative:page;mso-position-vertical-relative:page;z-index:15882752;rotation:1" type="#_x0000_t136" fillcolor="#b87b46" stroked="f">
            <o:extrusion v:ext="view" autorotationcenter="t"/>
            <v:textpath style="font-family:&quot;Bradley Hand&quot;;font-size:21pt;v-text-kern:t;mso-text-shadow:auto;font-weight:bold" string="Practice Review"/>
            <w10:wrap type="none"/>
          </v:shape>
        </w:pict>
      </w:r>
      <w:r>
        <w:rPr/>
        <w:pict>
          <v:shape style="position:absolute;margin-left:102.482697pt;margin-top:614.829346pt;width:155.6pt;height:21.15pt;mso-position-horizontal-relative:page;mso-position-vertical-relative:page;z-index:15883264;rotation:1" type="#_x0000_t136" fillcolor="#b87b46" stroked="f">
            <o:extrusion v:ext="view" autorotationcenter="t"/>
            <v:textpath style="font-family:&quot;Bradley Hand&quot;;font-size:21pt;v-text-kern:t;mso-text-shadow:auto;font-weight:bold" string="process in Health"/>
            <w10:wrap type="none"/>
          </v:shape>
        </w:pict>
      </w:r>
      <w:r>
        <w:rPr/>
        <w:pict>
          <v:shape style="position:absolute;margin-left:102.047241pt;margin-top:639.403809pt;width:69.75pt;height:21.15pt;mso-position-horizontal-relative:page;mso-position-vertical-relative:page;z-index:15883776;rotation:1" type="#_x0000_t136" fillcolor="#b87b46" stroked="f">
            <o:extrusion v:ext="view" autorotationcenter="t"/>
            <v:textpath style="font-family:&quot;Bradley Hand&quot;;font-size:21pt;v-text-kern:t;mso-text-shadow:auto;font-weight:bold" string="Boards."/>
            <w10:wrap type="none"/>
          </v:shape>
        </w:pict>
      </w:r>
      <w:r>
        <w:rPr/>
        <w:pict>
          <v:shape style="position:absolute;margin-left:101.314552pt;margin-top:681.411133pt;width:77.4pt;height:21.15pt;mso-position-horizontal-relative:page;mso-position-vertical-relative:page;z-index:15884288;rotation:1" type="#_x0000_t136" fillcolor="#b87b46" stroked="f">
            <o:extrusion v:ext="view" autorotationcenter="t"/>
            <v:textpath style="font-family:&quot;Bradley Hand&quot;;font-size:21pt;v-text-kern:t;mso-text-shadow:auto;font-weight:bold" string="Regards"/>
            <w10:wrap type="none"/>
          </v:shape>
        </w:pict>
      </w:r>
      <w:r>
        <w:rPr/>
        <w:pict>
          <v:shape style="position:absolute;margin-left:308.154297pt;margin-top:596.083801pt;width:118.7pt;height:22.9pt;mso-position-horizontal-relative:page;mso-position-vertical-relative:page;z-index:15884800;rotation:1" type="#_x0000_t136" fillcolor="#b87b46" stroked="f">
            <o:extrusion v:ext="view" autorotationcenter="t"/>
            <v:textpath style="font-family:&quot;Bradley Hand&quot;;font-size:22pt;v-text-kern:t;mso-text-shadow:auto;font-weight:bold" string="NHS Wales"/>
            <w10:wrap type="none"/>
          </v:shape>
        </w:pict>
      </w:r>
      <w:r>
        <w:rPr/>
        <w:pict>
          <v:shape style="position:absolute;margin-left:133.535248pt;margin-top:283.115875pt;width:103pt;height:15pt;mso-position-horizontal-relative:page;mso-position-vertical-relative:page;z-index:15886848;rotation:358" type="#_x0000_t136" fillcolor="#b87b46" stroked="f">
            <o:extrusion v:ext="view" autorotationcenter="t"/>
            <v:textpath style="font-family:&quot;Times New Roman&quot;;font-size:15pt;v-text-kern:t;mso-text-shadow:auto;font-style:italic" string="pressures and"/>
            <w10:wrap type="none"/>
          </v:shape>
        </w:pict>
      </w:r>
      <w:r>
        <w:rPr/>
        <w:pict>
          <v:shape style="position:absolute;margin-left:134.141479pt;margin-top:299.846649pt;width:175.1pt;height:15pt;mso-position-horizontal-relative:page;mso-position-vertical-relative:page;z-index:15887360;rotation:358" type="#_x0000_t136" fillcolor="#b87b46" stroked="f">
            <o:extrusion v:ext="view" autorotationcenter="t"/>
            <v:textpath style="font-family:&quot;Times New Roman&quot;;font-size:15pt;v-text-kern:t;mso-text-shadow:auto;font-style:italic" string="challenging complexities"/>
            <w10:wrap type="none"/>
          </v:shape>
        </w:pict>
      </w:r>
      <w:r>
        <w:rPr/>
        <w:pict>
          <v:shape style="position:absolute;margin-left:134.787582pt;margin-top:318.860931pt;width:116.35pt;height:15pt;mso-position-horizontal-relative:page;mso-position-vertical-relative:page;z-index:15887872;rotation:358" type="#_x0000_t136" fillcolor="#b87b46" stroked="f">
            <o:extrusion v:ext="view" autorotationcenter="t"/>
            <v:textpath style="font-family:&quot;Times New Roman&quot;;font-size:15pt;v-text-kern:t;mso-text-shadow:auto;font-style:italic" string="that create new"/>
            <w10:wrap type="none"/>
          </v:shape>
        </w:pict>
      </w:r>
      <w:r>
        <w:rPr/>
        <w:pict>
          <v:shape style="position:absolute;margin-left:135.409698pt;margin-top:336.501617pt;width:136.35pt;height:15pt;mso-position-horizontal-relative:page;mso-position-vertical-relative:page;z-index:15888384;rotation:358" type="#_x0000_t136" fillcolor="#b87b46" stroked="f">
            <o:extrusion v:ext="view" autorotationcenter="t"/>
            <v:textpath style="font-family:&quot;Times New Roman&quot;;font-size:15pt;v-text-kern:t;mso-text-shadow:auto;font-style:italic" string="demands e.g. highly"/>
            <w10:wrap type="none"/>
          </v:shape>
        </w:pict>
      </w:r>
      <w:r>
        <w:rPr/>
        <w:pict>
          <v:shape style="position:absolute;margin-left:136.031128pt;margin-top:354.108215pt;width:158.25pt;height:15pt;mso-position-horizontal-relative:page;mso-position-vertical-relative:page;z-index:15888896;rotation:358" type="#_x0000_t136" fillcolor="#b87b46" stroked="f">
            <o:extrusion v:ext="view" autorotationcenter="t"/>
            <v:textpath style="font-family:&quot;Times New Roman&quot;;font-size:15pt;v-text-kern:t;mso-text-shadow:auto;font-style:italic" string="complex networks of"/>
            <w10:wrap type="none"/>
          </v:shape>
        </w:pict>
      </w:r>
      <w:r>
        <w:rPr/>
        <w:pict>
          <v:shape style="position:absolute;margin-left:136.658661pt;margin-top:372.059357pt;width:160.4pt;height:15pt;mso-position-horizontal-relative:page;mso-position-vertical-relative:page;z-index:15889408;rotation:358" type="#_x0000_t136" fillcolor="#b87b46" stroked="f">
            <o:extrusion v:ext="view" autorotationcenter="t"/>
            <v:textpath style="font-family:&quot;Times New Roman&quot;;font-size:15pt;v-text-kern:t;mso-text-shadow:auto;font-style:italic" string="abuse which threaten"/>
            <w10:wrap type="none"/>
          </v:shape>
        </w:pict>
      </w:r>
      <w:r>
        <w:rPr/>
        <w:pict>
          <v:shape style="position:absolute;margin-left:137.289474pt;margin-top:390.197815pt;width:151.85pt;height:15pt;mso-position-horizontal-relative:page;mso-position-vertical-relative:page;z-index:15889920;rotation:358" type="#_x0000_t136" fillcolor="#b87b46" stroked="f">
            <o:extrusion v:ext="view" autorotationcenter="t"/>
            <v:textpath style="font-family:&quot;Times New Roman&quot;;font-size:15pt;v-text-kern:t;mso-text-shadow:auto;font-style:italic" string="the effectiveness of"/>
            <w10:wrap type="none"/>
          </v:shape>
        </w:pict>
      </w:r>
      <w:r>
        <w:rPr/>
        <w:pict>
          <v:shape style="position:absolute;margin-left:137.935654pt;margin-top:409.217072pt;width:92.8pt;height:15pt;mso-position-horizontal-relative:page;mso-position-vertical-relative:page;z-index:15890432;rotation:358" type="#_x0000_t136" fillcolor="#b87b46" stroked="f">
            <o:extrusion v:ext="view" autorotationcenter="t"/>
            <v:textpath style="font-family:&quot;Times New Roman&quot;;font-size:15pt;v-text-kern:t;mso-text-shadow:auto;font-style:italic" string="safeguarding."/>
            <w10:wrap type="none"/>
          </v:shape>
        </w:pict>
      </w:r>
      <w:r>
        <w:rPr/>
        <w:pict>
          <v:shape style="position:absolute;margin-left:139.069702pt;margin-top:442.015106pt;width:55.9pt;height:15pt;mso-position-horizontal-relative:page;mso-position-vertical-relative:page;z-index:15890944;rotation:358" type="#_x0000_t136" fillcolor="#b87b46" stroked="f">
            <o:extrusion v:ext="view" autorotationcenter="t"/>
            <v:textpath style="font-family:&quot;Times New Roman&quot;;font-size:15pt;v-text-kern:t;mso-text-shadow:auto;font-style:italic" string="Regards"/>
            <w10:wrap type="none"/>
          </v:shape>
        </w:pict>
      </w:r>
      <w:r>
        <w:rPr/>
        <w:pict>
          <v:shape style="position:absolute;margin-left:344.911011pt;margin-top:320.048828pt;width:163.3pt;height:17.850pt;mso-position-horizontal-relative:page;mso-position-vertical-relative:page;z-index:15891456;rotation:358" type="#_x0000_t136" fillcolor="#b87b46" stroked="f">
            <o:extrusion v:ext="view" autorotationcenter="t"/>
            <v:textpath style="font-family:&quot;Times New Roman&quot;;font-size:17pt;v-text-kern:t;mso-text-shadow:auto;font-style:italic" string="Welsh Government"/>
            <w10:wrap type="none"/>
          </v:shape>
        </w:pict>
      </w:r>
    </w:p>
    <w:p>
      <w:pPr>
        <w:pStyle w:val="BodyText"/>
        <w:spacing w:before="6"/>
      </w:pPr>
    </w:p>
    <w:p>
      <w:pPr>
        <w:tabs>
          <w:tab w:pos="7398" w:val="left" w:leader="none"/>
        </w:tabs>
        <w:spacing w:before="100"/>
        <w:ind w:left="927" w:right="0" w:firstLine="0"/>
        <w:jc w:val="left"/>
        <w:rPr>
          <w:sz w:val="16"/>
        </w:rPr>
      </w:pPr>
      <w:r>
        <w:rPr>
          <w:color w:val="231F20"/>
          <w:sz w:val="16"/>
        </w:rPr>
        <w:t>48</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211" w:lineRule="auto"/>
        <w:ind w:left="927"/>
      </w:pPr>
      <w:r>
        <w:rPr>
          <w:color w:val="3B957D"/>
        </w:rPr>
        <w:t>Other matters relevant to the work of the Safeguarding Boards</w:t>
      </w:r>
    </w:p>
    <w:p>
      <w:pPr>
        <w:pStyle w:val="BodyText"/>
        <w:spacing w:before="227"/>
        <w:ind w:left="927"/>
      </w:pPr>
      <w:r>
        <w:rPr/>
        <w:pict>
          <v:group style="position:absolute;margin-left:78.9226pt;margin-top:59.45892pt;width:476.65pt;height:555.1pt;mso-position-horizontal-relative:page;mso-position-vertical-relative:paragraph;z-index:15881216" coordorigin="1578,1189" coordsize="9533,11102">
            <v:rect style="position:absolute;left:1608;top:6760;width:8698;height:5530" filled="true" fillcolor="#231f20" stroked="false">
              <v:fill opacity="26214f" type="solid"/>
            </v:rect>
            <v:shape style="position:absolute;left:1578;top:6730;width:8484;height:5312" coordorigin="1578,6731" coordsize="8484,5312" path="m1669,6731l1578,11896,9972,12042,10062,6877,1669,6731xe" filled="true" fillcolor="#fcf7ec" stroked="false">
              <v:path arrowok="t"/>
              <v:fill type="solid"/>
            </v:shape>
            <v:shape style="position:absolute;left:5771;top:7064;width:3932;height:4567" coordorigin="5771,7064" coordsize="3932,4567" path="m5870,7065l5851,7064,5771,11631,5791,11631,5870,7065xm9672,11278l6173,11217,6173,11237,9672,11298,9672,11278xm9682,10688l6184,10627,6183,10646,9682,10707,9682,10688xm9692,10100l6194,10039,6193,10058,9692,10119,9692,10100xm9703,9509l6204,9448,6204,9468,9702,9529,9703,9509xe" filled="true" fillcolor="#b87b46" stroked="false">
              <v:path arrowok="t"/>
              <v:fill type="solid"/>
            </v:shape>
            <v:shape style="position:absolute;left:8687;top:7115;width:992;height:1276" coordorigin="8688,7116" coordsize="992,1276" path="m9658,8358l9464,8358,9476,8360,9487,8368,9493,8378,9496,8390,9528,8392,9531,8378,9538,8368,9548,8362,9561,8360,9658,8360,9658,8358xm9658,8360l9561,8360,9573,8362,9584,8370,9590,8380,9593,8392,9625,8392,9628,8380,9635,8370,9645,8364,9658,8362,9658,8360xm9658,8356l9367,8356,9379,8360,9390,8366,9396,8376,9399,8390,9431,8390,9434,8378,9441,8368,9451,8360,9464,8358,9658,8358,9658,8356xm9658,8354l9270,8354,9282,8358,9293,8364,9299,8374,9302,8388,9334,8388,9337,8376,9344,8366,9354,8358,9367,8356,9658,8356,9658,8354xm9658,8352l9173,8352,9185,8356,9196,8362,9202,8374,9205,8386,9237,8386,9240,8374,9247,8364,9257,8356,9270,8354,9658,8354,9658,8352xm9173,8352l9076,8352,9088,8354,9099,8362,9105,8372,9108,8384,9140,8384,9143,8372,9150,8362,9160,8356,9173,8352xm9658,8348l8882,8348,8894,8350,8905,8358,8911,8368,8914,8380,8946,8382,8949,8368,8956,8358,8966,8352,8979,8350,9658,8350,9658,8348xm9658,8350l8979,8350,8991,8352,9002,8360,9008,8370,9011,8382,9043,8382,9046,8370,9053,8360,9063,8354,9076,8352,9658,8352,9658,8350xm9658,8346l8785,8346,8797,8348,8807,8356,8814,8366,8817,8378,8849,8380,8852,8366,8859,8356,8869,8350,8882,8348,9658,8348,9658,8346xm8774,7116l8742,7116,8739,7128,8732,7138,8721,7146,8709,7148,8708,7180,8721,7184,8731,7190,8738,7200,8740,7214,8737,7226,8730,7236,8720,7242,8707,7244,8707,7278,8719,7280,8729,7288,8736,7298,8738,7310,8735,7322,8728,7332,8718,7340,8705,7342,8705,7374,8717,7378,8727,7384,8734,7394,8736,7408,8734,7420,8727,7430,8716,7436,8704,7438,8703,7472,8716,7474,8726,7482,8732,7492,8735,7504,8732,7516,8725,7526,8715,7534,8702,7536,8701,7568,8714,7572,8724,7578,8731,7588,8733,7602,8730,7614,8723,7624,8713,7630,8700,7632,8700,7666,8712,7668,8722,7676,8729,7686,8731,7698,8729,7710,8722,7720,8711,7728,8699,7730,8698,7762,8711,7766,8721,7772,8727,7782,8730,7796,8727,7808,8720,7818,8709,7824,8697,7826,8696,7860,8709,7862,8719,7870,8726,7880,8728,7892,8725,7904,8718,7914,8708,7922,8695,7924,8695,7956,8707,7960,8717,7966,8724,7976,8726,7990,8724,8002,8716,8012,8706,8018,8694,8020,8693,8054,8705,8056,8716,8064,8722,8074,8725,8086,8722,8098,8715,8108,8704,8116,8692,8118,8691,8150,8704,8154,8714,8160,8721,8170,8723,8184,8720,8196,8713,8206,8703,8212,8690,8214,8690,8248,8702,8250,8712,8258,8719,8268,8721,8280,8718,8292,8711,8302,8701,8310,8688,8312,8688,8344,8700,8348,8710,8354,8717,8364,8719,8378,8752,8378,8755,8366,8762,8356,8772,8348,8785,8346,9658,8346,9659,8328,9646,8326,9636,8318,9629,8308,9627,8296,9630,8284,9637,8274,9647,8266,9660,8264,9660,8232,9648,8228,9638,8222,9631,8212,9629,8198,9631,8186,9638,8176,9649,8170,9661,8168,9662,8134,9649,8132,9639,8124,9633,8114,9630,8102,9633,8090,9640,8080,9651,8072,9663,8070,9664,8038,9651,8034,9641,8028,9634,8018,9632,8004,9635,7992,9642,7982,9652,7976,9665,7974,9665,7940,9653,7938,9643,7930,9636,7920,9634,7908,9636,7896,9644,7886,9654,7878,9666,7876,9667,7844,9655,7840,9644,7834,9638,7824,9635,7810,9638,7798,9645,7788,9656,7782,9668,7780,9669,7746,9656,7744,9646,7736,9639,7726,9637,7714,9640,7702,9647,7692,9657,7684,9670,7682,9670,7650,9658,7646,9648,7640,9641,7630,9639,7616,9642,7604,9649,7594,9659,7588,9672,7586,9672,7552,9660,7550,9650,7542,9643,7532,9641,7520,9643,7508,9650,7498,9661,7490,9673,7488,9674,7456,9661,7452,9651,7446,9645,7436,9642,7422,9645,7410,9652,7400,9662,7394,9675,7392,9676,7358,9663,7356,9653,7348,9646,7338,9644,7326,9647,7314,9654,7304,9664,7296,9677,7294,9677,7262,9665,7258,9655,7252,9648,7242,9646,7228,9648,7216,9655,7206,9666,7200,9678,7198,9679,7164,9666,7162,9485,7162,9479,7160,9388,7160,9382,7158,9291,7158,9278,7156,9194,7156,9181,7154,9097,7154,9084,7152,8903,7152,8897,7150,8806,7150,8793,7146,8783,7140,8776,7130,8774,7116xm9550,7130l9518,7130,9515,7142,9508,7152,9497,7158,9485,7162,9582,7162,9569,7160,9559,7154,9553,7142,9550,7130xm9647,7132l9615,7132,9612,7144,9605,7154,9594,7160,9582,7162,9666,7162,9656,7154,9650,7144,9647,7132xm9453,7128l9421,7128,9418,7140,9411,7150,9400,7158,9388,7160,9479,7160,9472,7158,9462,7152,9456,7142,9453,7128xm9356,7126l9324,7126,9321,7138,9314,7148,9303,7156,9291,7158,9382,7158,9375,7156,9365,7150,9359,7140,9356,7126xm9227,7124l9224,7136,9217,7148,9206,7154,9194,7156,9278,7156,9268,7148,9262,7138,9259,7126,9227,7124xm9130,7122l9127,7136,9120,7146,9109,7152,9097,7154,9181,7154,9171,7146,9165,7136,9162,7124,9130,7122xm8968,7120l8936,7120,8933,7132,8926,7142,8915,7148,8903,7152,9000,7152,8987,7150,8977,7142,8971,7132,8968,7120xm9065,7122l9033,7122,9030,7134,9023,7144,9012,7150,9000,7152,9084,7152,9074,7144,9068,7134,9065,7122xm8871,7118l8839,7118,8836,7130,8829,7140,8818,7148,8806,7150,8897,7150,8890,7148,8880,7142,8873,7130,8871,7118xe" filled="true" fillcolor="#e8ced1" stroked="false">
              <v:path arrowok="t"/>
              <v:fill type="solid"/>
            </v:shape>
            <v:rect style="position:absolute;left:2334;top:1226;width:8777;height:5667" filled="true" fillcolor="#231f20" stroked="false">
              <v:fill opacity="26214f" type="solid"/>
            </v:rect>
            <v:shape style="position:absolute;left:2297;top:1189;width:8570;height:5456" coordorigin="2297,1189" coordsize="8570,5456" path="m10687,1189l2297,1482,2477,6645,10867,6352,10687,1189xe" filled="true" fillcolor="#f4eaea" stroked="false">
              <v:path arrowok="t"/>
              <v:fill type="solid"/>
            </v:shape>
            <v:shape style="position:absolute;left:6491;top:1595;width:4037;height:4566" coordorigin="6491,1595" coordsize="4037,4566" path="m6670,6160l6511,1595,6491,1596,6651,6161,6670,6160xm10466,3856l10466,3836,6969,3958,6969,3978,10466,3856xm10487,4446l10486,4427,6989,4549,6990,4568,10487,4446xm10508,5033l10507,5014,7010,5136,7010,5156,10508,5033xm10528,5624l10527,5605,7030,5727,7031,5746,10528,5624xe" filled="true" fillcolor="#b87b46" stroked="false">
              <v:path arrowok="t"/>
              <v:fill type="solid"/>
            </v:shape>
            <v:shape style="position:absolute;left:9349;top:1463;width:1012;height:1292" coordorigin="9349,1464" coordsize="1012,1292" path="m9413,1496l9380,1496,9378,1510,9372,1520,9362,1526,9349,1530,9351,1562,9363,1564,9374,1570,9381,1580,9384,1594,9382,1606,9375,1616,9365,1624,9353,1626,9354,1660,9367,1662,9377,1668,9384,1678,9387,1690,9385,1702,9379,1714,9369,1720,9356,1724,9357,1756,9370,1758,9380,1764,9388,1774,9391,1788,9389,1800,9382,1810,9372,1818,9360,1820,9361,1854,9373,1856,9384,1862,9391,1872,9394,1884,9392,1896,9385,1908,9375,1914,9363,1918,9364,1950,9377,1952,9387,1958,9394,1968,9397,1982,9395,1994,9389,2004,9379,2012,9366,2014,9368,2048,9380,2050,9391,2056,9398,2066,9401,2078,9399,2090,9392,2102,9382,2108,9370,2112,9371,2144,9384,2146,9394,2152,9401,2162,9404,2176,9402,2188,9396,2198,9386,2206,9373,2208,9374,2242,9387,2244,9397,2250,9405,2260,9408,2272,9405,2284,9399,2296,9389,2302,9377,2306,9378,2338,9390,2340,9401,2346,9408,2356,9411,2370,9409,2382,9402,2392,9392,2400,9380,2402,9381,2436,9394,2438,9404,2444,9411,2454,9414,2466,9412,2478,9406,2490,9396,2496,9383,2500,9384,2532,9397,2534,9408,2540,9415,2550,9418,2564,9416,2576,9409,2586,9399,2594,9387,2596,9388,2628,9400,2632,9411,2638,9418,2648,9421,2660,9419,2672,9413,2684,9403,2690,9390,2694,9391,2726,9404,2728,9414,2734,9422,2744,9425,2756,9457,2756,9459,2744,9466,2732,9476,2726,9488,2722,9573,2722,9585,2720,9667,2720,9670,2718,9682,2716,9767,2716,9779,2712,9864,2712,9876,2710,9958,2710,9961,2708,9973,2706,10058,2706,10070,2702,10155,2702,10167,2698,10252,2698,10264,2696,10348,2696,10361,2692,10360,2660,10347,2658,10337,2650,10329,2640,10326,2628,10329,2616,10335,2606,10345,2598,10358,2596,10356,2562,10344,2560,10333,2554,10326,2544,10323,2532,10325,2518,10332,2508,10342,2502,10354,2498,10353,2466,10340,2464,10330,2456,10323,2446,10320,2434,10322,2422,10328,2412,10338,2404,10351,2402,10350,2368,10337,2366,10327,2360,10319,2350,10316,2338,10318,2324,10325,2314,10335,2308,10347,2304,10346,2272,10334,2270,10323,2262,10316,2252,10313,2240,10315,2228,10322,2218,10332,2210,10344,2208,10344,2208,10343,2174,10330,2172,10320,2166,10313,2156,10310,2144,10312,2130,10318,2120,10328,2114,10341,2110,10339,2078,10327,2076,10316,2070,10309,2060,10306,2046,10308,2034,10315,2024,10325,2016,10337,2014,10336,1980,10323,1978,10313,1972,10306,1962,10303,1950,10305,1938,10311,1926,10321,1920,10334,1916,10333,1884,10320,1882,10310,1876,10302,1866,10299,1852,10301,1840,10308,1830,10318,1822,10330,1820,10329,1786,10317,1784,10306,1778,10299,1768,10296,1756,10298,1744,10305,1732,10315,1726,10327,1722,10326,1690,10313,1688,10303,1682,10296,1672,10293,1658,10295,1646,10301,1636,10311,1628,10324,1626,10323,1592,10310,1590,10299,1584,10292,1574,10289,1562,10291,1550,10298,1538,10308,1532,10320,1528,10320,1526,9446,1526,9434,1524,9423,1518,9416,1508,9413,1496xm9573,2722l9488,2722,9501,2724,9511,2732,9519,2742,9521,2754,9554,2752,9556,2740,9563,2730,9573,2722xm9667,2720l9585,2720,9598,2722,9608,2728,9615,2738,9618,2750,9651,2750,9653,2736,9660,2726,9667,2720xm9767,2716l9682,2716,9695,2718,9705,2724,9712,2734,9715,2746,9748,2746,9750,2734,9757,2722,9767,2716xm9864,2712l9779,2712,9792,2714,9802,2722,9809,2732,9812,2744,9845,2742,9847,2730,9854,2720,9864,2712xm9958,2710l9876,2710,9889,2712,9899,2718,9906,2728,9909,2740,9942,2738,9944,2726,9951,2716,9958,2710xm10058,2706l9973,2706,9986,2708,9996,2714,10003,2724,10006,2736,10039,2736,10041,2722,10048,2712,10058,2706xm10155,2702l10070,2702,10083,2704,10093,2710,10100,2720,10103,2734,10136,2732,10138,2720,10145,2710,10155,2702xm10252,2698l10167,2698,10180,2700,10190,2708,10197,2718,10200,2730,10233,2728,10235,2716,10242,2706,10252,2698xm10348,2696l10264,2696,10277,2698,10287,2704,10294,2714,10297,2726,10330,2726,10332,2712,10338,2702,10348,2696xm9510,1492l9477,1494,9475,1506,9469,1516,9459,1524,9446,1526,10320,1526,10320,1522,9543,1522,9531,1520,9520,1514,9513,1504,9510,1492xm9607,1488l9574,1490,9572,1502,9566,1512,9556,1520,9543,1522,10320,1522,10320,1520,9640,1520,9628,1518,9617,1510,9610,1500,9607,1488xm9704,1486l9671,1486,9669,1498,9663,1510,9653,1516,9640,1520,10320,1520,10320,1516,9737,1516,9725,1514,9714,1508,9707,1498,9704,1486xm9801,1482l9768,1482,9766,1496,9760,1506,9750,1514,9737,1516,10320,1516,10320,1512,9834,1512,9822,1510,9811,1504,9804,1494,9801,1482xm9898,1478l9865,1480,9863,1492,9857,1502,9847,1510,9834,1512,10320,1512,10320,1510,9931,1510,9919,1508,9908,1500,9901,1490,9898,1478xm9995,1474l9962,1476,9960,1488,9954,1500,9944,1506,9931,1510,10320,1510,10319,1506,10028,1506,10016,1504,10005,1498,9998,1488,9995,1474xm10092,1472l10059,1472,10057,1486,10051,1496,10041,1504,10028,1506,10319,1506,10319,1502,10125,1502,10113,1500,10102,1494,10095,1484,10092,1472xm10189,1468l10156,1470,10154,1482,10148,1492,10138,1500,10125,1502,10319,1502,10319,1500,10222,1500,10210,1498,10199,1490,10192,1480,10189,1468xm10286,1464l10253,1466,10251,1478,10245,1490,10235,1496,10222,1500,10319,1500,10319,1496,10307,1494,10296,1488,10289,1478,10286,1464xe" filled="true" fillcolor="#e8ced1" stroked="false">
              <v:path arrowok="t"/>
              <v:fill type="solid"/>
            </v:shape>
            <w10:wrap type="none"/>
          </v:group>
        </w:pict>
      </w:r>
      <w:r>
        <w:rPr/>
        <w:pict>
          <v:shape style="position:absolute;margin-left:7.0315pt;margin-top:31.747116pt;width:15.7pt;height:477.8pt;mso-position-horizontal-relative:page;mso-position-vertical-relative:paragraph;z-index:15885312"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pict>
          <v:shape style="position:absolute;margin-left:132.266953pt;margin-top:96.15052pt;width:142.1pt;height:15pt;mso-position-horizontal-relative:page;mso-position-vertical-relative:paragraph;z-index:15885824;rotation:358" type="#_x0000_t136" fillcolor="#b87b46" stroked="f">
            <o:extrusion v:ext="view" autorotationcenter="t"/>
            <v:textpath style="font-family:&quot;Times New Roman&quot;;font-size:15pt;v-text-kern:t;mso-text-shadow:auto;font-style:italic" string="We are experiencing"/>
            <w10:wrap type="none"/>
          </v:shape>
        </w:pict>
      </w:r>
      <w:r>
        <w:rPr/>
        <w:pict>
          <v:shape style="position:absolute;margin-left:132.903351pt;margin-top:114.609886pt;width:115.15pt;height:15pt;mso-position-horizontal-relative:page;mso-position-vertical-relative:paragraph;z-index:15886336;rotation:358" type="#_x0000_t136" fillcolor="#b87b46" stroked="f">
            <o:extrusion v:ext="view" autorotationcenter="t"/>
            <v:textpath style="font-family:&quot;Times New Roman&quot;;font-size:15pt;v-text-kern:t;mso-text-shadow:auto;font-style:italic" string="growing referral"/>
            <w10:wrap type="none"/>
          </v:shape>
        </w:pict>
      </w:r>
      <w:r>
        <w:rPr>
          <w:color w:val="231F20"/>
        </w:rPr>
        <w:t>We have gathered the messages on the following postcards from the Regional Boards’ reports.</w:t>
      </w:r>
    </w:p>
    <w:p>
      <w:pPr>
        <w:spacing w:after="0"/>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92480" filled="true" fillcolor="#3b957d" stroked="false">
            <v:fill type="solid"/>
            <w10:wrap type="none"/>
          </v:rect>
        </w:pict>
      </w:r>
      <w:r>
        <w:rPr/>
        <w:pict>
          <v:group style="position:absolute;margin-left:43.571999pt;margin-top:65.038414pt;width:481.7pt;height:754.85pt;mso-position-horizontal-relative:page;mso-position-vertical-relative:page;z-index:-17683968" coordorigin="871,1301" coordsize="9634,15097">
            <v:rect style="position:absolute;left:1690;top:11083;width:8360;height:5314" filled="true" fillcolor="#231f20" stroked="false">
              <v:fill opacity="26214f" type="solid"/>
            </v:rect>
            <v:shape style="position:absolute;left:1661;top:11054;width:8150;height:5103" coordorigin="1661,11055" coordsize="8150,5103" path="m1748,11055l1661,16016,9724,16157,9811,11195,1748,11055xe" filled="true" fillcolor="#f0f6eb" stroked="false">
              <v:path arrowok="t"/>
              <v:fill type="solid"/>
            </v:shape>
            <v:shape style="position:absolute;left:5689;top:11374;width:3777;height:4387" coordorigin="5689,11375" coordsize="3777,4387" path="m5784,11375l5766,11375,5689,15761,5708,15762,5784,11375xm9436,15423l6075,15364,6075,15383,9436,15441,9436,15423xm9446,14855l6085,14797,6085,14815,9446,14874,9446,14855xm9456,14291l6095,14232,6095,14251,9455,14310,9456,14291xm9466,13724l6105,13665,6105,13683,9465,13742,9466,13724xe" filled="true" fillcolor="#b87b46" stroked="false">
              <v:path arrowok="t"/>
              <v:fill type="solid"/>
            </v:shape>
            <v:shape style="position:absolute;left:8490;top:11423;width:952;height:1226" coordorigin="8491,11424" coordsize="952,1226" path="m9423,12618l9236,12618,9248,12620,9258,12626,9264,12636,9267,12648,9298,12650,9301,12638,9307,12628,9317,12622,9330,12620,9423,12620,9423,12618xm9423,12620l9330,12620,9341,12622,9351,12628,9358,12638,9360,12650,9391,12650,9394,12640,9401,12630,9411,12622,9423,12620xm9423,12616l9143,12616,9155,12618,9165,12626,9171,12636,9173,12648,9205,12648,9208,12636,9214,12626,9224,12620,9236,12618,9423,12618,9423,12616xm9423,12614l9050,12614,9062,12616,9072,12624,9078,12634,9080,12646,9112,12646,9114,12634,9121,12624,9131,12618,9143,12616,9423,12616,9423,12614xm9423,12612l8957,12612,8969,12616,8978,12622,8985,12632,8987,12644,9018,12644,9021,12632,9028,12622,9038,12616,9050,12614,9423,12614,9423,12612xm8864,12610l8770,12610,8782,12612,8792,12618,8799,12628,8801,12640,8832,12642,8835,12630,8842,12620,8851,12614,8864,12610xm9423,12610l8864,12610,8876,12614,8885,12620,8892,12630,8894,12642,8925,12642,8928,12630,8935,12622,8945,12614,8957,12612,9423,12612,9423,12610xm9423,12608l8677,12608,8689,12610,8699,12618,8705,12628,8708,12640,8739,12640,8742,12628,8748,12618,8758,12612,8770,12610,9423,12610,9423,12608xm9423,12606l8584,12606,8596,12608,8606,12616,8612,12626,8614,12638,8646,12638,8648,12626,8655,12616,8665,12610,8677,12608,9423,12608,9423,12606xm8574,11424l8542,11424,8540,11436,8533,11446,8523,11452,8511,11454,8510,11486,8522,11488,8532,11496,8538,11506,8541,11518,8538,11530,8531,11540,8521,11546,8509,11548,8509,11580,8521,11582,8530,11588,8537,11598,8539,11610,8536,11622,8530,11632,8520,11638,8508,11642,8507,11672,8519,11676,8529,11682,8535,11692,8537,11704,8535,11716,8528,11726,8518,11732,8506,11734,8505,11766,8517,11768,8527,11776,8534,11786,8536,11798,8533,11810,8526,11818,8516,11826,8504,11828,8504,11858,8516,11862,8526,11868,8532,11878,8534,11890,8532,11902,8525,11912,8515,11918,8503,11920,8502,11952,8514,11954,8524,11962,8530,11972,8533,11984,8530,11996,8523,12006,8513,12012,8501,12014,8501,12046,8513,12048,8522,12054,8529,12064,8531,12076,8528,12088,8521,12098,8512,12104,8499,12108,8499,12138,8511,12142,8521,12148,8527,12158,8529,12170,8527,12182,8520,12192,8510,12198,8498,12200,8497,12232,8509,12234,8519,12242,8525,12250,8528,12264,8525,12276,8518,12284,8508,12292,8496,12294,8496,12324,8508,12328,8517,12334,8524,12344,8526,12356,8523,12368,8517,12378,8507,12384,8495,12386,8494,12418,8506,12420,8516,12428,8522,12438,8524,12450,8522,12462,8515,12472,8505,12478,8493,12480,8492,12512,8504,12514,8514,12520,8521,12530,8523,12542,8520,12554,8513,12564,8503,12570,8491,12572,8491,12604,8503,12608,8512,12614,8519,12624,8521,12636,8553,12636,8555,12624,8562,12614,8572,12608,8584,12606,9423,12606,9423,12590,9411,12586,9402,12580,9395,12570,9393,12558,9396,12546,9402,12536,9412,12530,9424,12528,9425,12496,9413,12494,9403,12486,9397,12476,9394,12464,9397,12452,9404,12442,9414,12436,9426,12434,9426,12402,9415,12400,9405,12394,9398,12384,9396,12372,9399,12360,9406,12350,9415,12344,9428,12342,9428,12310,9416,12308,9406,12300,9400,12290,9398,12278,9400,12266,9407,12256,9417,12250,9429,12248,9430,12216,9418,12214,9408,12208,9402,12198,9399,12186,9402,12174,9409,12164,9419,12156,9431,12154,9431,12124,9419,12120,9410,12114,9403,12104,9401,12092,9404,12080,9410,12070,9420,12064,9432,12062,9433,12030,9421,12028,9411,12020,9405,12010,9403,11998,9405,11986,9412,11976,9422,11970,9434,11968,9435,11936,9423,11934,9413,11928,9406,11918,9404,11906,9407,11894,9414,11884,9424,11878,9436,11876,9436,11844,9424,11842,9415,11834,9408,11824,9406,11812,9409,11800,9415,11790,9425,11784,9437,11782,9438,11750,9426,11748,9416,11742,9410,11732,9408,11720,9410,11708,9417,11698,9427,11690,9439,11688,9440,11658,9428,11654,9418,11648,9411,11638,9409,11626,9412,11614,9419,11604,9429,11598,9441,11596,9441,11564,9429,11562,9419,11554,9413,11544,9411,11532,9413,11520,9420,11512,9430,11504,9442,11502,9443,11470,9350,11470,9344,11468,9256,11468,9244,11466,9163,11466,9151,11464,9070,11464,9058,11462,8884,11462,8878,11460,8790,11460,8784,11458,8697,11458,8685,11456,8604,11456,8592,11454,8582,11446,8576,11436,8574,11424xm9381,11438l9378,11450,9372,11460,9362,11468,9350,11470,9443,11470,9431,11468,9421,11462,9415,11452,9412,11440,9381,11438xm9319,11438l9288,11438,9285,11450,9278,11460,9268,11466,9256,11468,9344,11468,9338,11466,9328,11460,9321,11450,9319,11438xm9226,11436l9195,11436,9192,11448,9185,11458,9175,11464,9163,11466,9244,11466,9235,11458,9228,11448,9226,11436xm9133,11434l9101,11434,9099,11446,9092,11456,9082,11462,9070,11464,9151,11464,9141,11456,9135,11446,9133,11434xm8915,11430l8912,11442,8906,11452,8896,11460,8884,11462,8977,11462,8965,11460,8955,11454,8949,11444,8946,11432,8915,11430xm9008,11432l9006,11444,8999,11454,8989,11460,8977,11462,9058,11462,9048,11456,9042,11446,9040,11434,9008,11432xm8853,11430l8822,11430,8819,11442,8812,11450,8802,11458,8790,11460,8878,11460,8872,11458,8862,11452,8855,11442,8853,11430xm8760,11428l8729,11428,8726,11440,8719,11450,8709,11456,8697,11458,8784,11458,8778,11456,8769,11450,8762,11440,8760,11428xm8667,11426l8635,11426,8633,11438,8626,11448,8616,11454,8604,11456,8685,11456,8676,11448,8669,11438,8667,11426xe" filled="true" fillcolor="#e8ced1" stroked="false">
              <v:path arrowok="t"/>
              <v:fill type="solid"/>
            </v:shape>
            <v:rect style="position:absolute;left:1908;top:5806;width:8597;height:5724" filled="true" fillcolor="#231f20" stroked="false">
              <v:fill opacity="26214f" type="solid"/>
            </v:rect>
            <v:shape style="position:absolute;left:1878;top:5777;width:8391;height:5513" coordorigin="1879,5777" coordsize="8391,5513" path="m9923,5777l1879,6340,2225,11290,10269,10727,9923,5777xe" filled="true" fillcolor="#f4eaea" stroked="false">
              <v:path arrowok="t"/>
              <v:fill type="solid"/>
            </v:shape>
            <v:shape style="position:absolute;left:5909;top:6307;width:4011;height:4378" coordorigin="5909,6307" coordsize="4011,4378" path="m6234,10684l5928,6307,5909,6308,6215,10685,6234,10684xm9801,8344l9800,8326,6447,8560,6448,8579,9801,8344xm9841,8911l9839,8892,6486,9126,6487,9145,9841,8911xm9880,9474l9879,9455,6526,9690,6527,9708,9880,9474xm9920,10040l9918,10021,6565,10256,6566,10274,9920,10040xe" filled="true" fillcolor="#b87b46" stroked="false">
              <v:path arrowok="t"/>
              <v:fill type="solid"/>
            </v:shape>
            <v:shape style="position:absolute;left:8650;top:6055;width:1010;height:1268" coordorigin="8651,6055" coordsize="1010,1268" path="m8711,6113l8679,6115,8678,6127,8672,6137,8662,6145,8651,6149,8653,6179,8665,6181,8675,6187,8683,6197,8686,6209,8684,6221,8678,6231,8669,6239,8657,6241,8659,6273,8672,6275,8682,6281,8689,6289,8692,6301,8691,6313,8685,6323,8675,6331,8664,6335,8666,6365,8678,6367,8688,6373,8696,6383,8699,6395,8697,6407,8691,6417,8682,6423,8670,6427,8672,6459,8685,6461,8695,6467,8702,6475,8705,6487,8704,6499,8698,6509,8688,6517,8677,6521,8679,6551,8691,6553,8701,6559,8709,6569,8712,6581,8710,6593,8704,6603,8695,6609,8683,6613,8685,6645,8698,6647,8708,6651,8715,6661,8718,6673,8717,6685,8711,6695,8702,6703,8690,6707,8692,6737,8704,6739,8714,6745,8722,6755,8725,6767,8723,6779,8717,6789,8708,6795,8696,6799,8698,6831,8711,6833,8721,6837,8728,6847,8731,6859,8730,6871,8724,6881,8715,6889,8703,6893,8705,6923,8717,6925,8727,6931,8735,6941,8738,6953,8736,6965,8730,6975,8721,6981,8709,6985,8711,7017,8724,7017,8734,7023,8741,7033,8744,7045,8743,7057,8737,7067,8728,7075,8716,7079,8718,7109,8730,7111,8740,7117,8748,7127,8751,7139,8749,7151,8743,7161,8734,7167,8722,7171,8724,7203,8737,7203,8747,7209,8754,7219,8757,7231,8756,7243,8750,7253,8741,7261,8729,7265,8731,7295,8743,7297,8753,7303,8761,7313,8764,7323,8795,7321,8797,7309,8803,7299,8812,7293,8824,7289,8900,7289,8905,7285,8917,7283,8993,7283,8998,7279,9010,7275,9088,7275,9091,7273,9103,7269,9181,7269,9184,7267,9196,7263,9272,7263,9277,7259,9289,7257,9365,7257,9370,7253,9382,7249,9460,7249,9463,7247,9475,7243,9553,7243,9556,7241,9568,7237,9644,7237,9649,7233,9661,7231,9658,7199,9646,7197,9636,7191,9629,7183,9625,7171,9627,7159,9633,7147,9642,7141,9654,7137,9652,7107,9640,7105,9630,7099,9622,7089,9619,7077,9621,7065,9626,7055,9636,7047,9648,7045,9645,7013,9633,7011,9623,7005,9616,6997,9612,6985,9614,6973,9620,6961,9629,6955,9641,6951,9639,6921,9627,6919,9617,6913,9609,6903,9606,6891,9608,6879,9613,6869,9623,6861,9635,6859,9632,6827,9620,6825,9610,6819,9603,6811,9599,6799,9601,6787,9607,6775,9616,6769,9628,6765,9626,6735,9614,6733,9604,6727,9596,6717,9593,6705,9595,6693,9600,6683,9610,6675,9622,6673,9619,6641,9607,6639,9597,6633,9590,6625,9586,6613,9588,6601,9594,6591,9603,6583,9615,6579,9613,6549,9601,6547,9590,6541,9583,6531,9580,6519,9582,6507,9587,6497,9597,6489,9609,6487,9606,6455,9594,6453,9584,6447,9577,6439,9573,6427,9575,6415,9581,6405,9590,6397,9602,6393,9600,6363,9588,6361,9577,6355,9570,6345,9567,6333,9569,6321,9574,6311,9584,6303,9596,6301,9593,6269,9581,6267,9571,6261,9564,6253,9560,6241,9562,6229,9568,6219,9577,6211,9589,6207,9587,6177,9575,6175,9564,6169,9557,6159,9554,6147,9555,6141,8731,6141,8721,6135,8714,6125,8711,6113xm8900,7289l8824,7289,8836,7291,8846,7297,8854,7305,8857,7317,8888,7315,8890,7303,8896,7293,8900,7289xm8993,7283l8929,7283,8939,7289,8947,7299,8950,7311,8981,7309,8983,7297,8989,7287,8993,7283xm9088,7275l9010,7275,9022,7277,9032,7283,9040,7293,9043,7305,9074,7303,9076,7291,9082,7279,9088,7275xm9181,7269l9103,7269,9115,7271,9125,7277,9133,7287,9136,7297,9167,7295,9169,7283,9175,7273,9181,7269xm9272,7263l9196,7263,9208,7265,9218,7271,9225,7279,9229,7291,9260,7289,9262,7277,9268,7267,9272,7263xm9365,7257l9301,7257,9311,7263,9318,7273,9322,7285,9353,7283,9355,7271,9361,7261,9365,7257xm9460,7249l9382,7249,9394,7251,9404,7257,9411,7267,9415,7279,9446,7277,9448,7265,9454,7253,9460,7249xm9553,7243l9475,7243,9487,7245,9497,7251,9504,7261,9508,7271,9539,7269,9541,7257,9546,7247,9553,7243xm9644,7237l9568,7237,9580,7239,9590,7245,9597,7253,9601,7265,9632,7263,9634,7251,9639,7241,9644,7237xm8804,6107l8772,6109,8771,6121,8765,6131,8755,6139,8744,6141,9555,6141,9556,6135,8837,6135,8824,6133,8814,6127,8807,6119,8804,6107xm8897,6101l8865,6103,8864,6115,8858,6125,8848,6133,8837,6135,9556,6135,9559,6129,8930,6129,8917,6127,8907,6121,8900,6111,8897,6101xm8990,6093l8958,6095,8957,6107,8951,6119,8941,6125,8930,6129,9559,6129,9561,6125,9564,6123,9023,6123,9010,6121,9000,6115,8993,6105,8990,6093xm9083,6087l9051,6089,9050,6101,9044,6111,9034,6119,9023,6123,9564,6123,9571,6117,9583,6115,9103,6115,9093,6109,9086,6099,9083,6087xm9176,6081l9144,6083,9143,6095,9137,6105,9127,6113,9116,6115,9583,6115,9582,6109,9209,6109,9196,6107,9186,6101,9179,6093,9176,6081xm9268,6075l9237,6077,9236,6089,9230,6099,9220,6107,9209,6109,9582,6109,9582,6103,9301,6103,9289,6101,9279,6095,9272,6085,9268,6075xm9361,6067l9330,6069,9329,6081,9323,6093,9313,6099,9301,6103,9582,6103,9581,6097,9394,6097,9382,6095,9372,6089,9365,6079,9361,6067xm9454,6061l9423,6063,9422,6075,9416,6085,9406,6093,9394,6097,9581,6097,9581,6089,9475,6089,9465,6083,9458,6073,9454,6061xm9547,6055l9516,6057,9515,6069,9509,6079,9499,6087,9487,6089,9581,6089,9580,6083,9568,6081,9558,6075,9551,6067,9547,6055xe" filled="true" fillcolor="#e8ced1" stroked="false">
              <v:path arrowok="t"/>
              <v:fill type="solid"/>
            </v:shape>
            <v:rect style="position:absolute;left:900;top:1330;width:8446;height:5451" filled="true" fillcolor="#231f20" stroked="false">
              <v:fill opacity="26214f" type="solid"/>
            </v:rect>
            <v:shape style="position:absolute;left:871;top:1300;width:8233;height:5241" coordorigin="871,1301" coordsize="8233,5241" path="m1045,1301l871,6260,8930,6541,9103,1582,1045,1301xe" filled="true" fillcolor="#f1fafe" stroked="false">
              <v:path arrowok="t"/>
              <v:fill type="solid"/>
            </v:shape>
            <v:shape style="position:absolute;left:4902;top:1691;width:3812;height:4386" coordorigin="4903,1691" coordsize="3812,4386" path="m5075,1692l5056,1691,4903,6076,4922,6076,5075,1692xm8655,5803l5296,5685,5295,5704,8654,5821,8655,5803xm8675,5235l5316,5118,5315,5137,8674,5254,8675,5235xm8695,4671l5335,4554,5335,4573,8694,4690,8695,4671xm8714,4104l5355,3987,5355,4005,8714,4123,8714,4104xe" filled="true" fillcolor="#b87b46" stroked="false">
              <v:path arrowok="t"/>
              <v:fill type="solid"/>
            </v:shape>
            <v:shape style="position:absolute;left:7759;top:1789;width:972;height:1240" coordorigin="7759,1789" coordsize="972,1240" path="m8691,2997l8598,2997,8610,2999,8619,3007,8625,3017,8627,3029,8659,3029,8662,3019,8669,3009,8679,3003,8691,3001,8691,2997xm8691,2993l8504,2993,8516,2997,8526,3003,8532,3013,8534,3025,8566,3027,8568,3015,8575,3005,8585,2999,8598,2997,8691,2997,8691,2993xm8691,2991l8411,2991,8423,2993,8433,3001,8439,3011,8441,3023,8472,3023,8475,3011,8482,3001,8492,2995,8504,2993,8691,2993,8691,2991xm8691,2987l8318,2987,8330,2991,8340,2997,8346,3007,8348,3019,8379,3021,8382,3009,8389,2999,8399,2993,8411,2991,8691,2991,8691,2987xm8691,2983l8225,2983,8237,2987,8247,2993,8253,3003,8255,3015,8286,3017,8289,3005,8296,2995,8306,2989,8318,2987,8691,2987,8691,2983xm8691,2981l8132,2981,8144,2983,8153,2991,8160,3001,8162,3013,8193,3013,8196,3001,8203,2993,8213,2985,8225,2983,8691,2983,8691,2981xm8692,2977l8039,2977,8051,2981,8060,2987,8067,2997,8069,3009,8100,3011,8103,2999,8110,2989,8120,2983,8132,2981,8691,2981,8692,2977xm8692,2975l7946,2975,7958,2977,7967,2983,7973,2995,7975,3007,8007,3007,8010,2995,8017,2985,8027,2979,8039,2977,8692,2977,8692,2975xm8692,2971l7852,2971,7864,2973,7874,2981,7880,2991,7882,3003,7914,3003,7916,2993,7923,2983,7933,2977,7946,2975,8692,2975,8692,2971xm7863,1789l7831,1789,7829,1801,7822,1811,7812,1817,7799,1819,7798,1849,7810,1853,7820,1859,7826,1869,7828,1881,7825,1893,7818,1903,7808,1909,7796,1911,7795,1943,7807,1945,7817,1953,7823,1963,7825,1975,7822,1987,7815,1997,7805,2003,7793,2005,7792,2037,7804,2039,7813,2045,7820,2057,7822,2069,7819,2081,7812,2089,7802,2095,7790,2097,7789,2129,7800,2133,7810,2139,7816,2149,7818,2161,7816,2173,7809,2183,7798,2189,7786,2191,7785,2223,7797,2225,7807,2233,7813,2243,7815,2255,7812,2267,7805,2275,7795,2283,7783,2285,7782,2315,7794,2319,7804,2325,7810,2335,7812,2347,7809,2359,7802,2369,7792,2375,7780,2377,7779,2409,7791,2411,7800,2419,7807,2429,7809,2441,7806,2453,7799,2463,7789,2469,7777,2471,7776,2501,7787,2505,7797,2511,7803,2521,7805,2533,7803,2545,7796,2555,7785,2561,7773,2563,7772,2595,7784,2597,7794,2605,7800,2615,7802,2627,7799,2639,7792,2649,7782,2655,7770,2657,7769,2689,7781,2691,7791,2699,7797,2709,7799,2721,7796,2733,7789,2741,7779,2747,7767,2749,7766,2781,7778,2785,7787,2791,7794,2801,7796,2813,7793,2825,7786,2835,7776,2841,7764,2843,7763,2875,7774,2877,7784,2885,7790,2895,7792,2907,7789,2919,7783,2929,7772,2935,7760,2937,7759,2967,7771,2971,7781,2977,7787,2987,7789,2999,7820,3001,7823,2989,7830,2979,7840,2973,7852,2971,8692,2971,8692,2969,8680,2965,8670,2959,8664,2949,8662,2937,8665,2925,8672,2915,8682,2909,8694,2907,8695,2875,8683,2873,8674,2865,8667,2855,8665,2843,8668,2831,8675,2823,8685,2815,8697,2813,8698,2783,8686,2779,8677,2773,8671,2763,8669,2751,8671,2739,8678,2729,8688,2723,8701,2721,8702,2689,8690,2687,8680,2679,8674,2669,8672,2657,8675,2645,8682,2635,8692,2629,8704,2627,8705,2597,8693,2593,8683,2587,8677,2577,8675,2565,8678,2553,8685,2543,8695,2537,8707,2535,8708,2503,8696,2501,8687,2493,8680,2483,8678,2471,8681,2459,8688,2449,8698,2443,8710,2441,8711,2409,8699,2407,8690,2401,8684,2391,8682,2377,8684,2367,8691,2357,8701,2351,8714,2349,8715,2317,8703,2313,8693,2307,8687,2297,8685,2285,8688,2273,8695,2263,8705,2257,8717,2255,8718,2223,8706,2221,8696,2213,8690,2203,8688,2191,8691,2179,8698,2171,8708,2163,8720,2161,8721,2131,8709,2127,8700,2121,8693,2111,8691,2099,8694,2087,8701,2077,8711,2071,8723,2069,8724,2037,8712,2035,8703,2027,8697,2017,8695,2005,8697,1993,8704,1983,8714,1977,8727,1975,8728,1945,8716,1941,8706,1935,8700,1925,8698,1913,8701,1901,8708,1891,8718,1885,8730,1883,8731,1851,8719,1849,8717,1847,8638,1847,8626,1845,8545,1845,8533,1841,8451,1841,8439,1839,8358,1839,8346,1835,8265,1835,8253,1831,8172,1831,8160,1829,8079,1829,8067,1825,7986,1825,7974,1823,7971,1821,7893,1821,7881,1819,7871,1811,7865,1801,7863,1789xm8670,1817l8667,1829,8660,1839,8650,1845,8638,1847,8717,1847,8709,1841,8703,1831,8701,1819,8670,1817xm8608,1815l8577,1815,8574,1827,8567,1837,8557,1843,8545,1845,8626,1845,8616,1837,8610,1827,8608,1815xm8483,1811l8481,1823,8474,1833,8464,1839,8451,1841,8533,1841,8523,1835,8517,1825,8515,1813,8483,1811xm8422,1809l8390,1809,8387,1821,8380,1829,8370,1837,8358,1839,8439,1839,8430,1831,8424,1821,8422,1809xm8297,1805l8294,1817,8287,1827,8277,1833,8265,1835,8346,1835,8337,1829,8330,1819,8328,1807,8297,1805xm8204,1801l8201,1813,8194,1823,8184,1829,8172,1831,8253,1831,8244,1825,8237,1815,8235,1803,8204,1801xm8142,1799l8111,1799,8108,1811,8101,1819,8091,1827,8079,1829,8160,1829,8150,1821,8144,1811,8142,1799xm8018,1795l8015,1807,8008,1817,7998,1823,7986,1825,8067,1825,8057,1819,8051,1809,8049,1797,8018,1795xm7925,1791l7922,1803,7915,1813,7905,1819,7893,1821,7971,1821,7964,1815,7958,1805,7956,1793,7925,1791xe" filled="true" fillcolor="#e8ced1" stroked="false">
              <v:path arrowok="t"/>
              <v:fill type="solid"/>
            </v:shape>
            <w10:wrap type="none"/>
          </v:group>
        </w:pict>
      </w:r>
      <w:r>
        <w:rPr/>
        <w:pict>
          <v:shape style="position:absolute;margin-left:304.532288pt;margin-top:662.620361pt;width:46.55pt;height:22pt;mso-position-horizontal-relative:page;mso-position-vertical-relative:page;z-index:15893504;rotation:1" type="#_x0000_t136" fillcolor="#b87b46" stroked="f">
            <o:extrusion v:ext="view" autorotationcenter="t"/>
            <v:textpath style="font-family:&quot;Times New Roman&quot;;font-size:22pt;v-text-kern:t;mso-text-shadow:auto;font-style:italic" string="Care"/>
            <w10:wrap type="none"/>
          </v:shape>
        </w:pict>
      </w:r>
      <w:r>
        <w:rPr/>
        <w:pict>
          <v:shape style="position:absolute;margin-left:304.064301pt;margin-top:689.852905pt;width:142.4pt;height:22pt;mso-position-horizontal-relative:page;mso-position-vertical-relative:page;z-index:15894016;rotation:1" type="#_x0000_t136" fillcolor="#b87b46" stroked="f">
            <o:extrusion v:ext="view" autorotationcenter="t"/>
            <v:textpath style="font-family:&quot;Times New Roman&quot;;font-size:22pt;v-text-kern:t;mso-text-shadow:auto;font-style:italic" string="Inspectorate"/>
            <w10:wrap type="none"/>
          </v:shape>
        </w:pict>
      </w:r>
      <w:r>
        <w:rPr/>
        <w:pict>
          <v:shape style="position:absolute;margin-left:303.609375pt;margin-top:715.575012pt;width:65.1500pt;height:22pt;mso-position-horizontal-relative:page;mso-position-vertical-relative:page;z-index:15894528;rotation:1" type="#_x0000_t136" fillcolor="#b87b46" stroked="f">
            <o:extrusion v:ext="view" autorotationcenter="t"/>
            <v:textpath style="font-family:&quot;Times New Roman&quot;;font-size:22pt;v-text-kern:t;mso-text-shadow:auto;font-style:italic" string="Wales"/>
            <w10:wrap type="none"/>
          </v:shape>
        </w:pict>
      </w:r>
      <w:r>
        <w:rPr/>
        <w:pict>
          <v:shape style="position:absolute;margin-left:60.529118pt;margin-top:158.987747pt;width:177.5pt;height:14.45pt;mso-position-horizontal-relative:page;mso-position-vertical-relative:page;z-index:15897088;rotation:2" type="#_x0000_t136" fillcolor="#b87b46" stroked="f">
            <o:extrusion v:ext="view" autorotationcenter="t"/>
            <v:textpath style="font-family:&quot;Georgia-BoldItalic&quot;;font-size:14pt;v-text-kern:t;mso-text-shadow:auto;font-weight:bold;font-style:italic" string="awful event in a neighbouring Health"/>
            <w10:wrap type="none"/>
          </v:shape>
        </w:pict>
      </w:r>
      <w:r>
        <w:rPr/>
        <w:pict>
          <v:shape style="position:absolute;margin-left:59.930225pt;margin-top:176.009689pt;width:162.7pt;height:14.45pt;mso-position-horizontal-relative:page;mso-position-vertical-relative:page;z-index:15897600;rotation:2" type="#_x0000_t136" fillcolor="#b87b46" stroked="f">
            <o:extrusion v:ext="view" autorotationcenter="t"/>
            <v:textpath style="font-family:&quot;Georgia-BoldItalic&quot;;font-size:14pt;v-text-kern:t;mso-text-shadow:auto;font-weight:bold;font-style:italic" string="Board has highlighted inconsistent"/>
            <w10:wrap type="none"/>
          </v:shape>
        </w:pict>
      </w:r>
      <w:r>
        <w:rPr/>
        <w:pict>
          <v:shape style="position:absolute;margin-left:59.328014pt;margin-top:193.221664pt;width:158.8pt;height:14.45pt;mso-position-horizontal-relative:page;mso-position-vertical-relative:page;z-index:15898112;rotation:2" type="#_x0000_t136" fillcolor="#b87b46" stroked="f">
            <o:extrusion v:ext="view" autorotationcenter="t"/>
            <v:textpath style="font-family:&quot;Georgia-BoldItalic&quot;;font-size:14pt;v-text-kern:t;mso-text-shadow:auto;font-weight:bold;font-style:italic" string="Human Resources practice. We are"/>
            <w10:wrap type="none"/>
          </v:shape>
        </w:pict>
      </w:r>
      <w:r>
        <w:rPr/>
        <w:pict>
          <v:shape style="position:absolute;margin-left:58.724014pt;margin-top:210.530502pt;width:160.4pt;height:14.45pt;mso-position-horizontal-relative:page;mso-position-vertical-relative:page;z-index:15898624;rotation:2" type="#_x0000_t136" fillcolor="#b87b46" stroked="f">
            <o:extrusion v:ext="view" autorotationcenter="t"/>
            <v:textpath style="font-family:&quot;Georgia-BoldItalic&quot;;font-size:14pt;v-text-kern:t;mso-text-shadow:auto;font-weight:bold;font-style:italic" string="willing to think through with you"/>
            <w10:wrap type="none"/>
          </v:shape>
        </w:pict>
      </w:r>
      <w:r>
        <w:rPr/>
        <w:pict>
          <v:shape style="position:absolute;margin-left:58.120243pt;margin-top:227.832184pt;width:161.65pt;height:14.45pt;mso-position-horizontal-relative:page;mso-position-vertical-relative:page;z-index:15899136;rotation:2" type="#_x0000_t136" fillcolor="#b87b46" stroked="f">
            <o:extrusion v:ext="view" autorotationcenter="t"/>
            <v:textpath style="font-family:&quot;Georgia-BoldItalic&quot;;font-size:14pt;v-text-kern:t;mso-text-shadow:auto;font-weight:bold;font-style:italic" string="what this means for multi-agency"/>
            <w10:wrap type="none"/>
          </v:shape>
        </w:pict>
      </w:r>
      <w:r>
        <w:rPr/>
        <w:pict>
          <v:shape style="position:absolute;margin-left:57.535145pt;margin-top:244.063705pt;width:101.55pt;height:14.45pt;mso-position-horizontal-relative:page;mso-position-vertical-relative:page;z-index:15899648;rotation:2" type="#_x0000_t136" fillcolor="#b87b46" stroked="f">
            <o:extrusion v:ext="view" autorotationcenter="t"/>
            <v:textpath style="font-family:&quot;Georgia-BoldItalic&quot;;font-size:14pt;v-text-kern:t;mso-text-shadow:auto;font-weight:bold;font-style:italic" string="partnership working."/>
            <w10:wrap type="none"/>
          </v:shape>
        </w:pict>
      </w:r>
      <w:r>
        <w:rPr/>
        <w:pict>
          <v:shape style="position:absolute;margin-left:56.426601pt;margin-top:275.242157pt;width:36.7pt;height:14.45pt;mso-position-horizontal-relative:page;mso-position-vertical-relative:page;z-index:15900160;rotation:2" type="#_x0000_t136" fillcolor="#b87b46" stroked="f">
            <o:extrusion v:ext="view" autorotationcenter="t"/>
            <v:textpath style="font-family:&quot;Georgia-BoldItalic&quot;;font-size:14pt;v-text-kern:t;mso-text-shadow:auto;font-weight:bold;font-style:italic" string="Regards"/>
            <w10:wrap type="none"/>
          </v:shape>
        </w:pict>
      </w:r>
      <w:r>
        <w:rPr/>
        <w:pict>
          <v:shape style="position:absolute;margin-left:267.1315pt;margin-top:178.045761pt;width:155.4pt;height:25pt;mso-position-horizontal-relative:page;mso-position-vertical-relative:page;z-index:15900672;rotation:2" type="#_x0000_t136" fillcolor="#b87b46" stroked="f">
            <o:extrusion v:ext="view" autorotationcenter="t"/>
            <v:textpath style="font-family:&quot;Georgia-BoldItalic&quot;;font-size:25pt;v-text-kern:t;mso-text-shadow:auto;font-weight:bold;font-style:italic" string="Welsh Government"/>
            <w10:wrap type="none"/>
          </v:shape>
        </w:pict>
      </w:r>
      <w:r>
        <w:rPr/>
        <w:pict>
          <v:shape style="position:absolute;margin-left:266.024811pt;margin-top:209.446487pt;width:122.2pt;height:25pt;mso-position-horizontal-relative:page;mso-position-vertical-relative:page;z-index:15901184;rotation:2" type="#_x0000_t136" fillcolor="#b87b46" stroked="f">
            <o:extrusion v:ext="view" autorotationcenter="t"/>
            <v:textpath style="font-family:&quot;Georgia-BoldItalic&quot;;font-size:25pt;v-text-kern:t;mso-text-shadow:auto;font-weight:bold;font-style:italic" string="and NHS Wales"/>
            <w10:wrap type="none"/>
          </v:shape>
        </w:pict>
      </w:r>
      <w:r>
        <w:rPr/>
        <w:pict>
          <v:shape style="position:absolute;margin-left:573.765198pt;margin-top:182.052719pt;width:15.7pt;height:477.8pt;mso-position-horizontal-relative:page;mso-position-vertical-relative:page;z-index:15901696" type="#_x0000_t202" filled="false" stroked="false">
            <v:textbox inset="0,0,0,0" style="layout-flow:vertical">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pict>
          <v:shape style="position:absolute;margin-left:116.32962pt;margin-top:337.242859pt;width:162.75pt;height:15.4pt;mso-position-horizontal-relative:page;mso-position-vertical-relative:page;z-index:15902208;rotation:357" type="#_x0000_t136" fillcolor="#b87b46" stroked="f">
            <o:extrusion v:ext="view" autorotationcenter="t"/>
            <v:textpath style="font-family:&quot;BrushScriptMT&quot;;font-size:15pt;v-text-kern:t;mso-text-shadow:auto" string="We believe that the redevelopment"/>
            <w10:wrap type="none"/>
          </v:shape>
        </w:pict>
      </w:r>
      <w:r>
        <w:rPr/>
        <w:pict>
          <v:shape style="position:absolute;margin-left:117.633293pt;margin-top:356.162964pt;width:147.8pt;height:15.4pt;mso-position-horizontal-relative:page;mso-position-vertical-relative:page;z-index:15902720;rotation:357" type="#_x0000_t136" fillcolor="#b87b46" stroked="f">
            <o:extrusion v:ext="view" autorotationcenter="t"/>
            <v:textpath style="font-family:&quot;BrushScriptMT&quot;;font-size:15pt;v-text-kern:t;mso-text-shadow:auto" string="of Wylfa Newydd will impact"/>
            <w10:wrap type="none"/>
          </v:shape>
        </w:pict>
      </w:r>
      <w:r>
        <w:rPr/>
        <w:pict>
          <v:shape style="position:absolute;margin-left:118.924477pt;margin-top:374.704468pt;width:143.7pt;height:15.4pt;mso-position-horizontal-relative:page;mso-position-vertical-relative:page;z-index:15903232;rotation:357" type="#_x0000_t136" fillcolor="#b87b46" stroked="f">
            <o:extrusion v:ext="view" autorotationcenter="t"/>
            <v:textpath style="font-family:&quot;BrushScriptMT&quot;;font-size:15pt;v-text-kern:t;mso-text-shadow:auto" string="on safeguarding. We want to"/>
            <w10:wrap type="none"/>
          </v:shape>
        </w:pict>
      </w:r>
      <w:r>
        <w:rPr/>
        <w:pict>
          <v:shape style="position:absolute;margin-left:120.201668pt;margin-top:392.815582pt;width:151.950pt;height:15.4pt;mso-position-horizontal-relative:page;mso-position-vertical-relative:page;z-index:15903744;rotation:357" type="#_x0000_t136" fillcolor="#b87b46" stroked="f">
            <o:extrusion v:ext="view" autorotationcenter="t"/>
            <v:textpath style="font-family:&quot;BrushScriptMT&quot;;font-size:15pt;v-text-kern:t;mso-text-shadow:auto" string="know how you intend to prevent"/>
            <w10:wrap type="none"/>
          </v:shape>
        </w:pict>
      </w:r>
      <w:r>
        <w:rPr/>
        <w:pict>
          <v:shape style="position:absolute;margin-left:121.507607pt;margin-top:411.807983pt;width:134.9pt;height:15.4pt;mso-position-horizontal-relative:page;mso-position-vertical-relative:page;z-index:15904256;rotation:357" type="#_x0000_t136" fillcolor="#b87b46" stroked="f">
            <o:extrusion v:ext="view" autorotationcenter="t"/>
            <v:textpath style="font-family:&quot;BrushScriptMT&quot;;font-size:15pt;v-text-kern:t;mso-text-shadow:auto" string="and reduce the likelihood of"/>
            <w10:wrap type="none"/>
          </v:shape>
        </w:pict>
      </w:r>
      <w:r>
        <w:rPr/>
        <w:pict>
          <v:shape style="position:absolute;margin-left:122.778778pt;margin-top:429.735168pt;width:148.4pt;height:15.4pt;mso-position-horizontal-relative:page;mso-position-vertical-relative:page;z-index:15904768;rotation:357" type="#_x0000_t136" fillcolor="#b87b46" stroked="f">
            <o:extrusion v:ext="view" autorotationcenter="t"/>
            <v:textpath style="font-family:&quot;BrushScriptMT&quot;;font-size:15pt;v-text-kern:t;mso-text-shadow:auto" string="individuals from the workforce"/>
            <w10:wrap type="none"/>
          </v:shape>
        </w:pict>
      </w:r>
      <w:r>
        <w:rPr/>
        <w:pict>
          <v:shape style="position:absolute;margin-left:124.067673pt;margin-top:448.206848pt;width:146.3pt;height:15.4pt;mso-position-horizontal-relative:page;mso-position-vertical-relative:page;z-index:15905280;rotation:357" type="#_x0000_t136" fillcolor="#b87b46" stroked="f">
            <o:extrusion v:ext="view" autorotationcenter="t"/>
            <v:textpath style="font-family:&quot;BrushScriptMT&quot;;font-size:15pt;v-text-kern:t;mso-text-shadow:auto" string="from harming children, young"/>
            <w10:wrap type="none"/>
          </v:shape>
        </w:pict>
      </w:r>
      <w:r>
        <w:rPr/>
        <w:pict>
          <v:shape style="position:absolute;margin-left:125.3302pt;margin-top:465.869995pt;width:167.4pt;height:15.4pt;mso-position-horizontal-relative:page;mso-position-vertical-relative:page;z-index:15905792;rotation:357" type="#_x0000_t136" fillcolor="#b87b46" stroked="f">
            <o:extrusion v:ext="view" autorotationcenter="t"/>
            <v:textpath style="font-family:&quot;BrushScriptMT&quot;;font-size:15pt;v-text-kern:t;mso-text-shadow:auto" string="people and adults on the island -"/>
            <w10:wrap type="none"/>
          </v:shape>
        </w:pict>
      </w:r>
      <w:r>
        <w:rPr/>
        <w:pict>
          <v:shape style="position:absolute;margin-left:126.666412pt;margin-top:485.786987pt;width:123.85pt;height:15.4pt;mso-position-horizontal-relative:page;mso-position-vertical-relative:page;z-index:15906304;rotation:357" type="#_x0000_t136" fillcolor="#b87b46" stroked="f">
            <o:extrusion v:ext="view" autorotationcenter="t"/>
            <v:textpath style="font-family:&quot;BrushScriptMT&quot;;font-size:15pt;v-text-kern:t;mso-text-shadow:auto" string="and across North Wales."/>
            <w10:wrap type="none"/>
          </v:shape>
        </w:pict>
      </w:r>
      <w:r>
        <w:rPr/>
        <w:pict>
          <v:shape style="position:absolute;margin-left:129.094711pt;margin-top:522.016663pt;width:42.8pt;height:15.4pt;mso-position-horizontal-relative:page;mso-position-vertical-relative:page;z-index:15906816;rotation:357" type="#_x0000_t136" fillcolor="#b87b46" stroked="f">
            <o:extrusion v:ext="view" autorotationcenter="t"/>
            <v:textpath style="font-family:&quot;BrushScriptMT&quot;;font-size:15pt;v-text-kern:t;mso-text-shadow:auto" string="Regards"/>
            <w10:wrap type="none"/>
          </v:shape>
        </w:pict>
      </w:r>
      <w:r>
        <w:rPr/>
        <w:pict>
          <v:shape style="position:absolute;margin-left:320.090424pt;margin-top:396.567596pt;width:62pt;height:25pt;mso-position-horizontal-relative:page;mso-position-vertical-relative:page;z-index:15907328;rotation:357" type="#_x0000_t136" fillcolor="#b87b46" stroked="f">
            <o:extrusion v:ext="view" autorotationcenter="t"/>
            <v:textpath style="font-family:&quot;BrushScriptMT&quot;;font-size:25pt;v-text-kern:t;mso-text-shadow:auto" string="Horizon"/>
            <w10:wrap type="none"/>
          </v:shape>
        </w:pict>
      </w:r>
      <w:r>
        <w:rPr/>
        <w:pict>
          <v:shape style="position:absolute;margin-left:322.252777pt;margin-top:427.487427pt;width:62.1pt;height:25pt;mso-position-horizontal-relative:page;mso-position-vertical-relative:page;z-index:15907840;rotation:357" type="#_x0000_t136" fillcolor="#b87b46" stroked="f">
            <o:extrusion v:ext="view" autorotationcenter="t"/>
            <v:textpath style="font-family:&quot;BrushScriptMT&quot;;font-size:25pt;v-text-kern:t;mso-text-shadow:auto" string="Nuclear"/>
            <w10:wrap type="none"/>
          </v:shape>
        </w:pict>
      </w:r>
      <w:r>
        <w:rPr/>
        <w:pict>
          <v:shape style="position:absolute;margin-left:324.041962pt;margin-top:458.841827pt;width:50.55pt;height:25pt;mso-position-horizontal-relative:page;mso-position-vertical-relative:page;z-index:15908352;rotation:357" type="#_x0000_t136" fillcolor="#b87b46" stroked="f">
            <o:extrusion v:ext="view" autorotationcenter="t"/>
            <v:textpath style="font-family:&quot;BrushScriptMT&quot;;font-size:25pt;v-text-kern:t;mso-text-shadow:auto" string="Power"/>
            <w10:wrap type="none"/>
          </v:shape>
        </w:pict>
      </w:r>
    </w:p>
    <w:p>
      <w:pPr>
        <w:pStyle w:val="BodyText"/>
        <w:spacing w:before="6"/>
      </w:pPr>
    </w:p>
    <w:p>
      <w:pPr>
        <w:tabs>
          <w:tab w:pos="10338" w:val="right" w:leader="none"/>
        </w:tabs>
        <w:spacing w:before="100"/>
        <w:ind w:left="360" w:right="0" w:firstLine="0"/>
        <w:jc w:val="left"/>
        <w:rPr>
          <w:sz w:val="16"/>
        </w:rPr>
      </w:pPr>
      <w:r>
        <w:rPr/>
        <w:pict>
          <v:shape style="position:absolute;margin-left:62.946365pt;margin-top:60.653542pt;width:166.15pt;height:14.45pt;mso-position-horizontal-relative:page;mso-position-vertical-relative:paragraph;z-index:15895040;rotation:2" type="#_x0000_t136" fillcolor="#b87b46" stroked="f">
            <o:extrusion v:ext="view" autorotationcenter="t"/>
            <v:textpath style="font-family:&quot;Georgia-BoldItalic&quot;;font-size:14pt;v-text-kern:t;mso-text-shadow:auto;font-weight:bold;font-style:italic" string="We are worried that NHS employees"/>
            <w10:wrap type="none"/>
          </v:shape>
        </w:pict>
      </w:r>
      <w:r>
        <w:rPr/>
        <w:pict>
          <v:shape style="position:absolute;margin-left:62.343803pt;margin-top:77.885742pt;width:163.4pt;height:14.45pt;mso-position-horizontal-relative:page;mso-position-vertical-relative:paragraph;z-index:15895552;rotation:2" type="#_x0000_t136" fillcolor="#b87b46" stroked="f">
            <o:extrusion v:ext="view" autorotationcenter="t"/>
            <v:textpath style="font-family:&quot;Georgia-BoldItalic&quot;;font-size:14pt;v-text-kern:t;mso-text-shadow:auto;font-weight:bold;font-style:italic" string="may come into contact with adults"/>
            <w10:wrap type="none"/>
          </v:shape>
        </w:pict>
      </w:r>
      <w:r>
        <w:rPr/>
        <w:pict>
          <v:shape style="position:absolute;margin-left:61.738132pt;margin-top:95.290154pt;width:170.55pt;height:14.45pt;mso-position-horizontal-relative:page;mso-position-vertical-relative:paragraph;z-index:15896064;rotation:2" type="#_x0000_t136" fillcolor="#b87b46" stroked="f">
            <o:extrusion v:ext="view" autorotationcenter="t"/>
            <v:textpath style="font-family:&quot;Georgia-BoldItalic&quot;;font-size:14pt;v-text-kern:t;mso-text-shadow:auto;font-weight:bold;font-style:italic" string="at risk before Disclosure and Barring"/>
            <w10:wrap type="none"/>
          </v:shape>
        </w:pict>
      </w:r>
      <w:r>
        <w:rPr/>
        <w:pict>
          <v:shape style="position:absolute;margin-left:61.139137pt;margin-top:112.318054pt;width:156.1pt;height:14.45pt;mso-position-horizontal-relative:page;mso-position-vertical-relative:paragraph;z-index:15896576;rotation:2" type="#_x0000_t136" fillcolor="#b87b46" stroked="f">
            <o:extrusion v:ext="view" autorotationcenter="t"/>
            <v:textpath style="font-family:&quot;Georgia-BoldItalic&quot;;font-size:14pt;v-text-kern:t;mso-text-shadow:auto;font-weight:bold;font-style:italic" string="Service checks have been done. An"/>
            <w10:wrap type="none"/>
          </v:shape>
        </w:pict>
      </w:r>
      <w:r>
        <w:rPr>
          <w:color w:val="231F20"/>
          <w:sz w:val="16"/>
        </w:rPr>
        <w:t>Annual Report 2017-18</w:t>
        <w:tab/>
        <w:t>49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group style="position:absolute;margin-left:95.517647pt;margin-top:11.28263pt;width:184.45pt;height:215.45pt;mso-position-horizontal-relative:page;mso-position-vertical-relative:paragraph;z-index:-15565312;mso-wrap-distance-left:0;mso-wrap-distance-right:0" coordorigin="1910,226" coordsize="3689,4309">
            <v:shape style="position:absolute;left:1977;top:225;width:3622;height:507" type="#_x0000_t202" filled="false" stroked="false">
              <v:textbox inset="0,0,0,0">
                <w:txbxContent>
                  <w:p>
                    <w:pPr>
                      <w:spacing w:before="52"/>
                      <w:ind w:left="20" w:right="0" w:firstLine="0"/>
                      <w:jc w:val="left"/>
                      <w:rPr>
                        <w:rFonts w:ascii="Times New Roman"/>
                        <w:i/>
                        <w:sz w:val="27"/>
                      </w:rPr>
                    </w:pPr>
                    <w:r>
                      <w:rPr>
                        <w:rFonts w:ascii="Times New Roman"/>
                        <w:i/>
                        <w:color w:val="B87B46"/>
                        <w:w w:val="130"/>
                        <w:position w:val="2"/>
                        <w:sz w:val="27"/>
                      </w:rPr>
                      <w:t>As </w:t>
                    </w:r>
                    <w:r>
                      <w:rPr>
                        <w:rFonts w:ascii="Times New Roman"/>
                        <w:i/>
                        <w:color w:val="B87B46"/>
                        <w:w w:val="130"/>
                        <w:position w:val="1"/>
                        <w:sz w:val="27"/>
                      </w:rPr>
                      <w:t>the </w:t>
                    </w:r>
                    <w:r>
                      <w:rPr>
                        <w:rFonts w:ascii="Times New Roman"/>
                        <w:i/>
                        <w:color w:val="B87B46"/>
                        <w:w w:val="130"/>
                        <w:sz w:val="27"/>
                      </w:rPr>
                      <w:t>number </w:t>
                    </w:r>
                    <w:r>
                      <w:rPr>
                        <w:rFonts w:ascii="Times New Roman"/>
                        <w:i/>
                        <w:color w:val="B87B46"/>
                        <w:w w:val="130"/>
                        <w:position w:val="-1"/>
                        <w:sz w:val="27"/>
                      </w:rPr>
                      <w:t>of</w:t>
                    </w:r>
                    <w:r>
                      <w:rPr>
                        <w:rFonts w:ascii="Times New Roman"/>
                        <w:i/>
                        <w:color w:val="B87B46"/>
                        <w:spacing w:val="-45"/>
                        <w:w w:val="130"/>
                        <w:position w:val="-1"/>
                        <w:sz w:val="27"/>
                      </w:rPr>
                      <w:t> </w:t>
                    </w:r>
                    <w:r>
                      <w:rPr>
                        <w:rFonts w:ascii="Times New Roman"/>
                        <w:i/>
                        <w:color w:val="B87B46"/>
                        <w:w w:val="130"/>
                        <w:position w:val="-2"/>
                        <w:sz w:val="27"/>
                      </w:rPr>
                      <w:t>services</w:t>
                    </w:r>
                  </w:p>
                </w:txbxContent>
              </v:textbox>
              <w10:wrap type="none"/>
            </v:shape>
            <v:shape style="position:absolute;left:1971;top:549;width:3252;height:500" type="#_x0000_t202" filled="false" stroked="false">
              <v:textbox inset="0,0,0,0">
                <w:txbxContent>
                  <w:p>
                    <w:pPr>
                      <w:spacing w:before="50"/>
                      <w:ind w:left="20" w:right="0" w:firstLine="0"/>
                      <w:jc w:val="left"/>
                      <w:rPr>
                        <w:rFonts w:ascii="Times New Roman" w:hAnsi="Times New Roman"/>
                        <w:i/>
                        <w:sz w:val="27"/>
                      </w:rPr>
                    </w:pPr>
                    <w:r>
                      <w:rPr>
                        <w:rFonts w:ascii="Times New Roman" w:hAnsi="Times New Roman"/>
                        <w:i/>
                        <w:color w:val="B87B46"/>
                        <w:w w:val="110"/>
                        <w:position w:val="1"/>
                        <w:sz w:val="27"/>
                      </w:rPr>
                      <w:t>in </w:t>
                    </w:r>
                    <w:r>
                      <w:rPr>
                        <w:rFonts w:ascii="Times New Roman" w:hAnsi="Times New Roman"/>
                        <w:i/>
                        <w:color w:val="B87B46"/>
                        <w:w w:val="110"/>
                        <w:sz w:val="27"/>
                      </w:rPr>
                      <w:t>“Escalating </w:t>
                    </w:r>
                    <w:r>
                      <w:rPr>
                        <w:rFonts w:ascii="Times New Roman" w:hAnsi="Times New Roman"/>
                        <w:i/>
                        <w:color w:val="B87B46"/>
                        <w:w w:val="110"/>
                        <w:position w:val="-2"/>
                        <w:sz w:val="27"/>
                      </w:rPr>
                      <w:t>Concerns”</w:t>
                    </w:r>
                  </w:p>
                </w:txbxContent>
              </v:textbox>
              <w10:wrap type="none"/>
            </v:shape>
            <v:shape style="position:absolute;left:1966;top:873;width:3556;height:506" type="#_x0000_t202" filled="false" stroked="false">
              <v:textbox inset="0,0,0,0">
                <w:txbxContent>
                  <w:p>
                    <w:pPr>
                      <w:spacing w:before="50"/>
                      <w:ind w:left="20" w:right="0" w:firstLine="0"/>
                      <w:jc w:val="left"/>
                      <w:rPr>
                        <w:rFonts w:ascii="Times New Roman"/>
                        <w:i/>
                        <w:sz w:val="27"/>
                      </w:rPr>
                    </w:pPr>
                    <w:r>
                      <w:rPr>
                        <w:rFonts w:ascii="Times New Roman"/>
                        <w:i/>
                        <w:color w:val="B87B46"/>
                        <w:w w:val="125"/>
                        <w:position w:val="1"/>
                        <w:sz w:val="27"/>
                      </w:rPr>
                      <w:t>is</w:t>
                    </w:r>
                    <w:r>
                      <w:rPr>
                        <w:rFonts w:ascii="Times New Roman"/>
                        <w:i/>
                        <w:color w:val="B87B46"/>
                        <w:spacing w:val="-27"/>
                        <w:w w:val="125"/>
                        <w:position w:val="1"/>
                        <w:sz w:val="27"/>
                      </w:rPr>
                      <w:t> </w:t>
                    </w:r>
                    <w:r>
                      <w:rPr>
                        <w:rFonts w:ascii="Times New Roman"/>
                        <w:i/>
                        <w:color w:val="B87B46"/>
                        <w:w w:val="125"/>
                        <w:sz w:val="27"/>
                      </w:rPr>
                      <w:t>increasing</w:t>
                    </w:r>
                    <w:r>
                      <w:rPr>
                        <w:rFonts w:ascii="Times New Roman"/>
                        <w:i/>
                        <w:color w:val="B87B46"/>
                        <w:spacing w:val="-27"/>
                        <w:w w:val="125"/>
                        <w:sz w:val="27"/>
                      </w:rPr>
                      <w:t> </w:t>
                    </w:r>
                    <w:r>
                      <w:rPr>
                        <w:rFonts w:ascii="Times New Roman"/>
                        <w:i/>
                        <w:color w:val="B87B46"/>
                        <w:w w:val="125"/>
                        <w:position w:val="-1"/>
                        <w:sz w:val="27"/>
                      </w:rPr>
                      <w:t>(perhaps</w:t>
                    </w:r>
                    <w:r>
                      <w:rPr>
                        <w:rFonts w:ascii="Times New Roman"/>
                        <w:i/>
                        <w:color w:val="B87B46"/>
                        <w:spacing w:val="-27"/>
                        <w:w w:val="125"/>
                        <w:position w:val="-1"/>
                        <w:sz w:val="27"/>
                      </w:rPr>
                      <w:t> </w:t>
                    </w:r>
                    <w:r>
                      <w:rPr>
                        <w:rFonts w:ascii="Times New Roman"/>
                        <w:i/>
                        <w:color w:val="B87B46"/>
                        <w:w w:val="125"/>
                        <w:position w:val="-4"/>
                        <w:sz w:val="27"/>
                      </w:rPr>
                      <w:t>this</w:t>
                    </w:r>
                  </w:p>
                </w:txbxContent>
              </v:textbox>
              <w10:wrap type="none"/>
            </v:shape>
            <v:shape style="position:absolute;left:1949;top:1197;width:3024;height:1143" type="#_x0000_t202" filled="false" stroked="false">
              <v:textbox inset="0,0,0,0">
                <w:txbxContent>
                  <w:p>
                    <w:pPr>
                      <w:spacing w:line="223" w:lineRule="auto" w:before="76"/>
                      <w:ind w:left="20" w:right="14" w:firstLine="11"/>
                      <w:jc w:val="left"/>
                      <w:rPr>
                        <w:rFonts w:ascii="Times New Roman"/>
                        <w:i/>
                        <w:sz w:val="27"/>
                      </w:rPr>
                    </w:pPr>
                    <w:r>
                      <w:rPr>
                        <w:rFonts w:ascii="Times New Roman"/>
                        <w:i/>
                        <w:color w:val="B87B46"/>
                        <w:w w:val="125"/>
                        <w:position w:val="2"/>
                        <w:sz w:val="27"/>
                      </w:rPr>
                      <w:t>is useful</w:t>
                    </w:r>
                    <w:r>
                      <w:rPr>
                        <w:rFonts w:ascii="Times New Roman"/>
                        <w:i/>
                        <w:color w:val="B87B46"/>
                        <w:spacing w:val="-23"/>
                        <w:w w:val="125"/>
                        <w:position w:val="2"/>
                        <w:sz w:val="27"/>
                      </w:rPr>
                      <w:t> </w:t>
                    </w:r>
                    <w:r>
                      <w:rPr>
                        <w:rFonts w:ascii="Times New Roman"/>
                        <w:i/>
                        <w:color w:val="B87B46"/>
                        <w:w w:val="125"/>
                        <w:sz w:val="27"/>
                      </w:rPr>
                      <w:t>safeguarding </w:t>
                    </w:r>
                    <w:r>
                      <w:rPr>
                        <w:rFonts w:ascii="Times New Roman"/>
                        <w:i/>
                        <w:color w:val="B87B46"/>
                        <w:w w:val="125"/>
                        <w:position w:val="2"/>
                        <w:sz w:val="27"/>
                      </w:rPr>
                      <w:t>data?), </w:t>
                    </w:r>
                    <w:r>
                      <w:rPr>
                        <w:rFonts w:ascii="Times New Roman"/>
                        <w:i/>
                        <w:color w:val="B87B46"/>
                        <w:w w:val="125"/>
                        <w:sz w:val="27"/>
                      </w:rPr>
                      <w:t>the </w:t>
                    </w:r>
                    <w:r>
                      <w:rPr>
                        <w:rFonts w:ascii="Times New Roman"/>
                        <w:i/>
                        <w:color w:val="B87B46"/>
                        <w:w w:val="125"/>
                        <w:position w:val="0"/>
                        <w:sz w:val="27"/>
                      </w:rPr>
                      <w:t>number </w:t>
                    </w:r>
                    <w:r>
                      <w:rPr>
                        <w:rFonts w:ascii="Times New Roman"/>
                        <w:i/>
                        <w:color w:val="B87B46"/>
                        <w:w w:val="125"/>
                        <w:position w:val="-2"/>
                        <w:sz w:val="27"/>
                      </w:rPr>
                      <w:t>of </w:t>
                    </w:r>
                    <w:r>
                      <w:rPr>
                        <w:rFonts w:ascii="Times New Roman"/>
                        <w:i/>
                        <w:color w:val="B87B46"/>
                        <w:w w:val="120"/>
                        <w:position w:val="3"/>
                        <w:sz w:val="27"/>
                      </w:rPr>
                      <w:t>nursing</w:t>
                    </w:r>
                    <w:r>
                      <w:rPr>
                        <w:rFonts w:ascii="Times New Roman"/>
                        <w:i/>
                        <w:color w:val="B87B46"/>
                        <w:spacing w:val="-40"/>
                        <w:w w:val="120"/>
                        <w:position w:val="3"/>
                        <w:sz w:val="27"/>
                      </w:rPr>
                      <w:t> </w:t>
                    </w:r>
                    <w:r>
                      <w:rPr>
                        <w:rFonts w:ascii="Times New Roman"/>
                        <w:i/>
                        <w:color w:val="B87B46"/>
                        <w:w w:val="120"/>
                        <w:position w:val="1"/>
                        <w:sz w:val="27"/>
                      </w:rPr>
                      <w:t>and</w:t>
                    </w:r>
                    <w:r>
                      <w:rPr>
                        <w:rFonts w:ascii="Times New Roman"/>
                        <w:i/>
                        <w:color w:val="B87B46"/>
                        <w:spacing w:val="-40"/>
                        <w:w w:val="120"/>
                        <w:position w:val="1"/>
                        <w:sz w:val="27"/>
                      </w:rPr>
                      <w:t> </w:t>
                    </w:r>
                    <w:r>
                      <w:rPr>
                        <w:rFonts w:ascii="Times New Roman"/>
                        <w:i/>
                        <w:color w:val="B87B46"/>
                        <w:w w:val="120"/>
                        <w:sz w:val="27"/>
                      </w:rPr>
                      <w:t>residential</w:t>
                    </w:r>
                  </w:p>
                </w:txbxContent>
              </v:textbox>
              <w10:wrap type="none"/>
            </v:shape>
            <v:shape style="position:absolute;left:1943;top:2169;width:3377;height:502" type="#_x0000_t202" filled="false" stroked="false">
              <v:textbox inset="0,0,0,0">
                <w:txbxContent>
                  <w:p>
                    <w:pPr>
                      <w:spacing w:before="57"/>
                      <w:ind w:left="20" w:right="0" w:firstLine="0"/>
                      <w:jc w:val="left"/>
                      <w:rPr>
                        <w:rFonts w:ascii="Times New Roman"/>
                        <w:i/>
                        <w:sz w:val="27"/>
                      </w:rPr>
                    </w:pPr>
                    <w:r>
                      <w:rPr>
                        <w:rFonts w:ascii="Times New Roman"/>
                        <w:i/>
                        <w:color w:val="B87B46"/>
                        <w:w w:val="120"/>
                        <w:position w:val="2"/>
                        <w:sz w:val="27"/>
                      </w:rPr>
                      <w:t>homes </w:t>
                    </w:r>
                    <w:r>
                      <w:rPr>
                        <w:rFonts w:ascii="Times New Roman"/>
                        <w:i/>
                        <w:color w:val="B87B46"/>
                        <w:w w:val="120"/>
                        <w:position w:val="1"/>
                        <w:sz w:val="27"/>
                      </w:rPr>
                      <w:t>is </w:t>
                    </w:r>
                    <w:r>
                      <w:rPr>
                        <w:rFonts w:ascii="Times New Roman"/>
                        <w:i/>
                        <w:color w:val="B87B46"/>
                        <w:w w:val="120"/>
                        <w:sz w:val="27"/>
                      </w:rPr>
                      <w:t>decreasing. </w:t>
                    </w:r>
                    <w:r>
                      <w:rPr>
                        <w:rFonts w:ascii="Times New Roman"/>
                        <w:i/>
                        <w:color w:val="B87B46"/>
                        <w:w w:val="120"/>
                        <w:position w:val="-2"/>
                        <w:sz w:val="27"/>
                      </w:rPr>
                      <w:t>You</w:t>
                    </w:r>
                  </w:p>
                </w:txbxContent>
              </v:textbox>
              <w10:wrap type="none"/>
            </v:shape>
            <v:shape style="position:absolute;left:1910;top:2493;width:3030;height:2041" type="#_x0000_t202" filled="false" stroked="false">
              <v:textbox inset="0,0,0,0">
                <w:txbxContent>
                  <w:p>
                    <w:pPr>
                      <w:spacing w:line="225" w:lineRule="auto" w:before="65"/>
                      <w:ind w:left="30" w:right="0" w:firstLine="16"/>
                      <w:jc w:val="left"/>
                      <w:rPr>
                        <w:rFonts w:ascii="Times New Roman" w:hAnsi="Times New Roman"/>
                        <w:i/>
                        <w:sz w:val="27"/>
                      </w:rPr>
                    </w:pPr>
                    <w:r>
                      <w:rPr>
                        <w:rFonts w:ascii="Times New Roman" w:hAnsi="Times New Roman"/>
                        <w:i/>
                        <w:color w:val="B87B46"/>
                        <w:w w:val="120"/>
                        <w:position w:val="3"/>
                        <w:sz w:val="27"/>
                      </w:rPr>
                      <w:t>state </w:t>
                    </w:r>
                    <w:r>
                      <w:rPr>
                        <w:rFonts w:ascii="Times New Roman" w:hAnsi="Times New Roman"/>
                        <w:i/>
                        <w:color w:val="B87B46"/>
                        <w:w w:val="120"/>
                        <w:position w:val="1"/>
                        <w:sz w:val="27"/>
                      </w:rPr>
                      <w:t>that </w:t>
                    </w:r>
                    <w:r>
                      <w:rPr>
                        <w:rFonts w:ascii="Times New Roman" w:hAnsi="Times New Roman"/>
                        <w:i/>
                        <w:color w:val="B87B46"/>
                        <w:w w:val="120"/>
                        <w:sz w:val="27"/>
                      </w:rPr>
                      <w:t>“leadership </w:t>
                    </w:r>
                    <w:r>
                      <w:rPr>
                        <w:rFonts w:ascii="Times New Roman" w:hAnsi="Times New Roman"/>
                        <w:i/>
                        <w:color w:val="B87B46"/>
                        <w:w w:val="110"/>
                        <w:position w:val="1"/>
                        <w:sz w:val="27"/>
                      </w:rPr>
                      <w:t>and </w:t>
                    </w:r>
                    <w:r>
                      <w:rPr>
                        <w:rFonts w:ascii="Times New Roman" w:hAnsi="Times New Roman"/>
                        <w:i/>
                        <w:color w:val="B87B46"/>
                        <w:w w:val="110"/>
                        <w:sz w:val="27"/>
                      </w:rPr>
                      <w:t>management” </w:t>
                    </w:r>
                    <w:r>
                      <w:rPr>
                        <w:rFonts w:ascii="Times New Roman" w:hAnsi="Times New Roman"/>
                        <w:i/>
                        <w:color w:val="B87B46"/>
                        <w:w w:val="110"/>
                        <w:position w:val="-2"/>
                        <w:sz w:val="27"/>
                      </w:rPr>
                      <w:t>needs </w:t>
                    </w:r>
                    <w:r>
                      <w:rPr>
                        <w:rFonts w:ascii="Times New Roman" w:hAnsi="Times New Roman"/>
                        <w:i/>
                        <w:color w:val="B87B46"/>
                        <w:w w:val="120"/>
                        <w:sz w:val="27"/>
                      </w:rPr>
                      <w:t>attention. </w:t>
                    </w:r>
                    <w:r>
                      <w:rPr>
                        <w:rFonts w:ascii="Times New Roman" w:hAnsi="Times New Roman"/>
                        <w:i/>
                        <w:color w:val="B87B46"/>
                        <w:w w:val="120"/>
                        <w:position w:val="-1"/>
                        <w:sz w:val="27"/>
                      </w:rPr>
                      <w:t>Who </w:t>
                    </w:r>
                    <w:r>
                      <w:rPr>
                        <w:rFonts w:ascii="Times New Roman" w:hAnsi="Times New Roman"/>
                        <w:i/>
                        <w:color w:val="B87B46"/>
                        <w:w w:val="120"/>
                        <w:position w:val="-3"/>
                        <w:sz w:val="27"/>
                      </w:rPr>
                      <w:t>is </w:t>
                    </w:r>
                    <w:r>
                      <w:rPr>
                        <w:rFonts w:ascii="Times New Roman" w:hAnsi="Times New Roman"/>
                        <w:i/>
                        <w:color w:val="B87B46"/>
                        <w:w w:val="120"/>
                        <w:sz w:val="27"/>
                      </w:rPr>
                      <w:t>responsible </w:t>
                    </w:r>
                    <w:r>
                      <w:rPr>
                        <w:rFonts w:ascii="Times New Roman" w:hAnsi="Times New Roman"/>
                        <w:i/>
                        <w:color w:val="B87B46"/>
                        <w:w w:val="120"/>
                        <w:position w:val="-2"/>
                        <w:sz w:val="27"/>
                      </w:rPr>
                      <w:t>for </w:t>
                    </w:r>
                    <w:r>
                      <w:rPr>
                        <w:rFonts w:ascii="Times New Roman" w:hAnsi="Times New Roman"/>
                        <w:i/>
                        <w:color w:val="B87B46"/>
                        <w:w w:val="120"/>
                        <w:position w:val="-3"/>
                        <w:sz w:val="27"/>
                      </w:rPr>
                      <w:t>this?</w:t>
                    </w:r>
                  </w:p>
                  <w:p>
                    <w:pPr>
                      <w:spacing w:before="251"/>
                      <w:ind w:left="20" w:right="0" w:firstLine="0"/>
                      <w:jc w:val="left"/>
                      <w:rPr>
                        <w:rFonts w:ascii="Times New Roman"/>
                        <w:i/>
                        <w:sz w:val="27"/>
                      </w:rPr>
                    </w:pPr>
                    <w:r>
                      <w:rPr>
                        <w:rFonts w:ascii="Times New Roman"/>
                        <w:i/>
                        <w:color w:val="B87B46"/>
                        <w:w w:val="110"/>
                        <w:sz w:val="27"/>
                      </w:rPr>
                      <w:t>Regards</w:t>
                    </w:r>
                  </w:p>
                </w:txbxContent>
              </v:textbox>
              <w10:wrap type="none"/>
            </v:shape>
            <w10:wrap type="topAndBottom"/>
          </v:group>
        </w:pict>
      </w:r>
    </w:p>
    <w:p>
      <w:pPr>
        <w:spacing w:after="0"/>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66560" filled="true" fillcolor="#3b957d" stroked="false">
            <v:fill type="solid"/>
            <w10:wrap type="none"/>
          </v:rect>
        </w:pict>
      </w:r>
      <w:r>
        <w:rPr/>
        <w:pict>
          <v:shape style="position:absolute;margin-left:7.0315pt;margin-top:182.052505pt;width:15.7pt;height:477.8pt;mso-position-horizontal-relative:page;mso-position-vertical-relative:page;z-index:-17665536" type="#_x0000_t202" filled="false" stroked="false">
            <v:textbox inset="0,0,0,0" style="layout-flow:vertical;mso-layout-flow-alt:bottom-to-top">
              <w:txbxContent>
                <w:p>
                  <w:pPr>
                    <w:spacing w:before="20"/>
                    <w:ind w:left="20" w:right="0" w:firstLine="0"/>
                    <w:jc w:val="left"/>
                    <w:rPr>
                      <w:sz w:val="20"/>
                    </w:rPr>
                  </w:pPr>
                  <w:r>
                    <w:rPr>
                      <w:color w:val="FFFFFF"/>
                      <w:sz w:val="20"/>
                    </w:rPr>
                    <w:t>Reporting on the Adequacy and Effectiveness of Arrangements to Safeguard Children and Adults in Wales</w:t>
                  </w:r>
                </w:p>
              </w:txbxContent>
            </v:textbox>
            <w10:wrap type="none"/>
          </v:shape>
        </w:pict>
      </w:r>
      <w:r>
        <w:rPr/>
        <w:pict>
          <v:shape style="position:absolute;margin-left:352.402069pt;margin-top:169.728027pt;width:138.4pt;height:23.55pt;mso-position-horizontal-relative:page;mso-position-vertical-relative:page;z-index:15911936;rotation:357" type="#_x0000_t136" fillcolor="#b87b46" stroked="f">
            <o:extrusion v:ext="view" autorotationcenter="t"/>
            <v:textpath style="font-family:&quot;Bradley Hand&quot;;font-size:23pt;v-text-kern:t;mso-text-shadow:auto;font-weight:bold" string="Public Health"/>
            <w10:wrap type="none"/>
          </v:shape>
        </w:pict>
      </w:r>
      <w:r>
        <w:rPr/>
        <w:pict>
          <v:shape style="position:absolute;margin-left:353.932922pt;margin-top:199.930801pt;width:62.55pt;height:23.55pt;mso-position-horizontal-relative:page;mso-position-vertical-relative:page;z-index:15912448;rotation:357" type="#_x0000_t136" fillcolor="#b87b46" stroked="f">
            <o:extrusion v:ext="view" autorotationcenter="t"/>
            <v:textpath style="font-family:&quot;Bradley Hand&quot;;font-size:23pt;v-text-kern:t;mso-text-shadow:auto;font-weight:bold" string="Wales"/>
            <w10:wrap type="none"/>
          </v:shape>
        </w:pict>
      </w:r>
      <w:r>
        <w:rPr/>
        <w:pict>
          <v:shape style="position:absolute;margin-left:148.648544pt;margin-top:154.332306pt;width:148.85pt;height:22.65pt;mso-position-horizontal-relative:page;mso-position-vertical-relative:page;z-index:15913984;rotation:358" type="#_x0000_t136" fillcolor="#b87b46" stroked="f">
            <o:extrusion v:ext="view" autorotationcenter="t"/>
            <v:textpath style="font-family:&quot;Bradley Hand&quot;;font-size:22pt;v-text-kern:t;mso-text-shadow:auto;font-weight:bold" string="to the Regional"/>
            <w10:wrap type="none"/>
          </v:shape>
        </w:pict>
      </w:r>
      <w:r>
        <w:rPr/>
        <w:pict>
          <v:shape style="position:absolute;margin-left:150.112823pt;margin-top:183.300873pt;width:78.150pt;height:22.65pt;mso-position-horizontal-relative:page;mso-position-vertical-relative:page;z-index:15914496;rotation:358" type="#_x0000_t136" fillcolor="#b87b46" stroked="f">
            <o:extrusion v:ext="view" autorotationcenter="t"/>
            <v:textpath style="font-family:&quot;Bradley Hand&quot;;font-size:22pt;v-text-kern:t;mso-text-shadow:auto;font-weight:bold" string="Boards?"/>
            <w10:wrap type="none"/>
          </v:shape>
        </w:pict>
      </w:r>
      <w:r>
        <w:rPr/>
        <w:pict>
          <v:shape style="position:absolute;margin-left:152.463287pt;margin-top:228.072815pt;width:83.45pt;height:22.65pt;mso-position-horizontal-relative:page;mso-position-vertical-relative:page;z-index:15915008;rotation:358" type="#_x0000_t136" fillcolor="#b87b46" stroked="f">
            <o:extrusion v:ext="view" autorotationcenter="t"/>
            <v:textpath style="font-family:&quot;Bradley Hand&quot;;font-size:22pt;v-text-kern:t;mso-text-shadow:auto;font-weight:bold" string="Regards"/>
            <w10:wrap type="none"/>
          </v:shape>
        </w:pict>
      </w:r>
      <w:r>
        <w:rPr/>
        <w:pict>
          <v:shape style="position:absolute;margin-left:126.527977pt;margin-top:583.249390pt;width:173.35pt;height:24pt;mso-position-horizontal-relative:page;mso-position-vertical-relative:page;z-index:15915520;rotation:359" type="#_x0000_t136" fillcolor="#b87b46" stroked="f">
            <o:extrusion v:ext="view" autorotationcenter="t"/>
            <v:textpath style="font-family:&quot;Times New Roman&quot;;font-size:24pt;v-text-kern:t;mso-text-shadow:auto;font-style:italic" string="We are unsure that the"/>
            <w10:wrap type="none"/>
          </v:shape>
        </w:pict>
      </w:r>
      <w:r>
        <w:rPr/>
        <w:pict>
          <v:shape style="position:absolute;margin-left:127.032326pt;margin-top:612.246033pt;width:150.3pt;height:24pt;mso-position-horizontal-relative:page;mso-position-vertical-relative:page;z-index:15916032;rotation:359" type="#_x0000_t136" fillcolor="#b87b46" stroked="f">
            <o:extrusion v:ext="view" autorotationcenter="t"/>
            <v:textpath style="font-family:&quot;Times New Roman&quot;;font-size:24pt;v-text-kern:t;mso-text-shadow:auto;font-style:italic" string="high costs associated"/>
            <w10:wrap type="none"/>
          </v:shape>
        </w:pict>
      </w:r>
      <w:r>
        <w:rPr/>
        <w:pict>
          <v:shape style="position:absolute;margin-left:127.535286pt;margin-top:641.082458pt;width:145.65pt;height:24pt;mso-position-horizontal-relative:page;mso-position-vertical-relative:page;z-index:15916544;rotation:359" type="#_x0000_t136" fillcolor="#b87b46" stroked="f">
            <o:extrusion v:ext="view" autorotationcenter="t"/>
            <v:textpath style="font-family:&quot;Times New Roman&quot;;font-size:24pt;v-text-kern:t;mso-text-shadow:auto;font-style:italic" string="with Deprivation of"/>
            <w10:wrap type="none"/>
          </v:shape>
        </w:pict>
      </w:r>
      <w:r>
        <w:rPr/>
        <w:pict>
          <v:shape style="position:absolute;margin-left:128.036575pt;margin-top:669.717224pt;width:164.05pt;height:24pt;mso-position-horizontal-relative:page;mso-position-vertical-relative:page;z-index:15917056;rotation:359" type="#_x0000_t136" fillcolor="#b87b46" stroked="f">
            <o:extrusion v:ext="view" autorotationcenter="t"/>
            <v:textpath style="font-family:&quot;Times New Roman&quot;;font-size:24pt;v-text-kern:t;mso-text-shadow:auto;font-style:italic" string="Liberty Safeguards are"/>
            <w10:wrap type="none"/>
          </v:shape>
        </w:pict>
      </w:r>
      <w:r>
        <w:rPr/>
        <w:pict>
          <v:shape style="position:absolute;margin-left:128.544861pt;margin-top:699.163452pt;width:89.5pt;height:24pt;mso-position-horizontal-relative:page;mso-position-vertical-relative:page;z-index:15917568;rotation:359" type="#_x0000_t136" fillcolor="#b87b46" stroked="f">
            <o:extrusion v:ext="view" autorotationcenter="t"/>
            <v:textpath style="font-family:&quot;Times New Roman&quot;;font-size:24pt;v-text-kern:t;mso-text-shadow:auto;font-style:italic" string="sustainable,"/>
            <w10:wrap type="none"/>
          </v:shape>
        </w:pict>
      </w:r>
      <w:r>
        <w:rPr/>
        <w:pict>
          <v:shape style="position:absolute;margin-left:129.312332pt;margin-top:743.268127pt;width:58.3pt;height:24pt;mso-position-horizontal-relative:page;mso-position-vertical-relative:page;z-index:15918080;rotation:359" type="#_x0000_t136" fillcolor="#b87b46" stroked="f">
            <o:extrusion v:ext="view" autorotationcenter="t"/>
            <v:textpath style="font-family:&quot;Times New Roman&quot;;font-size:24pt;v-text-kern:t;mso-text-shadow:auto;font-style:italic" string="Regards"/>
            <w10:wrap type="none"/>
          </v:shape>
        </w:pict>
      </w:r>
    </w:p>
    <w:p>
      <w:pPr>
        <w:pStyle w:val="BodyText"/>
        <w:spacing w:before="6"/>
      </w:pPr>
    </w:p>
    <w:p>
      <w:pPr>
        <w:tabs>
          <w:tab w:pos="7398" w:val="left" w:leader="none"/>
        </w:tabs>
        <w:spacing w:before="100"/>
        <w:ind w:left="927" w:right="0" w:firstLine="0"/>
        <w:jc w:val="left"/>
        <w:rPr>
          <w:sz w:val="16"/>
        </w:rPr>
      </w:pPr>
      <w:r>
        <w:rPr/>
        <w:pict>
          <v:group style="position:absolute;margin-left:78.939400pt;margin-top:30.990623pt;width:476.35pt;height:752.8pt;mso-position-horizontal-relative:page;mso-position-vertical-relative:paragraph;z-index:-17666048" coordorigin="1579,620" coordsize="9527,15056">
            <v:rect style="position:absolute;left:2285;top:10361;width:8360;height:5314" filled="true" fillcolor="#231f20" stroked="false">
              <v:fill opacity="26214f" type="solid"/>
            </v:rect>
            <v:shape style="position:absolute;left:2256;top:10331;width:8150;height:5103" coordorigin="2256,10332" coordsize="8150,5103" path="m10319,10332l2256,10473,2343,15434,10405,15294,10319,10332xe" filled="true" fillcolor="#f4eaea" stroked="false">
              <v:path arrowok="t"/>
              <v:fill type="solid"/>
            </v:shape>
            <v:shape style="position:absolute;left:6282;top:10652;width:3810;height:4387" coordorigin="6282,10652" coordsize="3810,4387" path="m6378,15039l6301,10652,6282,10653,6359,15039,6378,15039xm10062,12889l10062,12871,6701,12929,6702,12948,10062,12889xm10072,13457l10072,13438,6711,13497,6712,13515,10072,13457xm10082,14021l10082,14003,6721,14061,6721,14080,10082,14021xm10092,14589l10092,14570,6731,14629,6731,14647,10092,14589xe" filled="true" fillcolor="#b87b46" stroked="false">
              <v:path arrowok="t"/>
              <v:fill type="solid"/>
            </v:shape>
            <v:shape style="position:absolute;left:9028;top:10589;width:952;height:1226" coordorigin="9029,10590" coordsize="952,1226" path="m9090,10604l9059,10606,9057,10618,9050,10628,9041,10634,9029,10636,9029,10668,9041,10670,9051,10678,9058,10686,9061,10698,9058,10710,9052,10720,9042,10728,9030,10730,9031,10762,9043,10764,9053,10770,9060,10780,9062,10792,9060,10804,9054,10814,9044,10820,9032,10824,9032,10854,9045,10856,9055,10864,9061,10874,9064,10886,9062,10898,9055,10908,9046,10914,9034,10916,9034,10948,9046,10950,9056,10956,9063,10966,9066,10978,9063,10990,9057,11000,9047,11008,9035,11010,9036,11042,9048,11044,9058,11050,9065,11060,9067,11072,9065,11084,9059,11094,9049,11100,9037,11102,9037,11134,9049,11136,9059,11142,9066,11152,9069,11164,9067,11176,9060,11186,9050,11194,9038,11196,9039,11228,9051,11230,9061,11236,9068,11246,9070,11258,9068,11270,9062,11280,9052,11286,9040,11290,9041,11320,9053,11322,9063,11330,9069,11340,9072,11352,9070,11364,9063,11374,9054,11380,9042,11382,9042,11414,9054,11416,9064,11422,9071,11432,9074,11444,9071,11456,9065,11466,9055,11474,9043,11476,9044,11508,9056,11510,9066,11516,9073,11526,9075,11538,9073,11550,9067,11560,9057,11566,9045,11568,9045,11600,9058,11602,9068,11608,9074,11618,9077,11630,9075,11642,9068,11652,9059,11660,9047,11662,9047,11694,9059,11696,9069,11702,9076,11712,9079,11724,9076,11736,9070,11746,9060,11752,9048,11756,9049,11786,9061,11788,9071,11796,9078,11806,9080,11816,9112,11816,9114,11804,9120,11794,9130,11788,9142,11786,9223,11786,9235,11784,9316,11784,9328,11782,9410,11782,9422,11780,9509,11780,9515,11778,9602,11778,9608,11776,9782,11776,9794,11774,9875,11774,9887,11772,9975,11772,9981,11770,9980,11738,9968,11736,9958,11730,9951,11720,9949,11708,9951,11696,9957,11686,9967,11680,9979,11678,9978,11646,9966,11644,9956,11638,9950,11628,9947,11616,9949,11604,9956,11594,9965,11586,9977,11584,9977,11552,9965,11550,9955,11544,9948,11534,9945,11522,9948,11510,9954,11500,9964,11494,9976,11490,9975,11460,9963,11458,9953,11450,9946,11442,9944,11430,9946,11416,9952,11408,9962,11400,9974,11398,9974,11366,9962,11364,9952,11358,9945,11348,9942,11336,9944,11324,9951,11314,9961,11308,9973,11304,9972,11274,9960,11270,9950,11264,9943,11254,9941,11242,9943,11230,9949,11220,9959,11214,9971,11212,9970,11180,9958,11178,9948,11172,9942,11162,9939,11150,9941,11138,9948,11128,9957,11120,9969,11118,9969,11086,9957,11084,9947,11078,9940,11068,9937,11056,9939,11044,9946,11034,9956,11028,9968,11024,9967,10994,9955,10992,9945,10984,9938,10976,9936,10964,9938,10952,9944,10942,9954,10934,9966,10932,9965,10900,9953,10898,9943,10892,9937,10882,9934,10870,9936,10858,9943,10848,9952,10842,9964,10838,9964,10808,9952,10804,9942,10798,9935,10788,9932,10776,9935,10764,9941,10754,9951,10748,9963,10746,9962,10714,9950,10712,9940,10706,9933,10696,9931,10684,9933,10672,9939,10662,9949,10654,9961,10652,9961,10636,9122,10636,9110,10634,9100,10626,9093,10616,9090,10604xm9223,11786l9142,11786,9154,11788,9164,11794,9171,11804,9173,11816,9205,11814,9207,11802,9213,11792,9223,11786xm9316,11784l9235,11784,9247,11786,9257,11792,9264,11802,9267,11814,9298,11814,9300,11802,9307,11792,9316,11784xm9410,11782l9328,11782,9340,11784,9350,11790,9357,11800,9360,11812,9391,11812,9393,11800,9400,11790,9410,11782xm9509,11780l9422,11780,9434,11782,9444,11788,9450,11798,9453,11810,9484,11810,9487,11798,9493,11788,9503,11782,9509,11780xm9602,11778l9515,11778,9527,11780,9537,11788,9544,11796,9546,11808,9578,11808,9580,11796,9586,11786,9596,11780,9602,11778xm9701,11776l9608,11776,9620,11780,9630,11786,9637,11796,9639,11808,9671,11806,9673,11794,9679,11784,9689,11778,9701,11776xm9782,11776l9701,11776,9713,11778,9723,11784,9730,11794,9733,11806,9764,11806,9766,11792,9773,11784,9782,11776xm9875,11774l9794,11774,9806,11776,9816,11782,9823,11792,9826,11804,9857,11804,9859,11792,9866,11782,9875,11774xm9975,11772l9887,11772,9900,11774,9909,11780,9916,11790,9919,11802,9950,11802,9953,11790,9959,11780,9969,11774,9975,11772xm9184,10604l9152,10604,9150,10616,9144,10626,9134,10632,9122,10636,9961,10636,9961,10634,9215,10634,9203,10632,9193,10626,9186,10616,9184,10604xm9277,10602l9245,10602,9243,10614,9237,10624,9227,10632,9215,10634,9961,10634,9961,10632,9308,10632,9296,10630,9286,10624,9279,10614,9277,10602xm9370,10600l9339,10600,9336,10612,9330,10622,9320,10630,9308,10632,9961,10632,9961,10630,9401,10630,9389,10628,9379,10622,9373,10612,9370,10600xm9463,10598l9432,10600,9430,10612,9423,10622,9413,10628,9401,10630,9961,10630,9961,10628,9495,10628,9483,10626,9473,10620,9466,10610,9463,10598xm9556,10596l9525,10598,9523,10610,9516,10620,9507,10626,9495,10628,9588,10628,9576,10626,9566,10618,9559,10608,9556,10596xm9650,10596l9618,10596,9616,10608,9610,10618,9600,10624,9588,10628,9961,10628,9961,10626,9681,10626,9669,10624,9659,10616,9652,10608,9650,10596xm9743,10594l9711,10594,9709,10606,9703,10616,9693,10622,9681,10626,9961,10626,9961,10624,9774,10624,9762,10622,9752,10616,9745,10606,9743,10594xm9836,10592l9805,10592,9802,10604,9796,10614,9786,10622,9774,10624,9961,10624,9961,10622,9867,10622,9855,10620,9845,10614,9839,10604,9836,10592xm9929,10590l9898,10590,9896,10602,9889,10612,9879,10620,9867,10622,9961,10622,9961,10620,9949,10618,9939,10612,9932,10602,9929,10590xe" filled="true" fillcolor="#e8ced1" stroked="false">
              <v:path arrowok="t"/>
              <v:fill type="solid"/>
            </v:shape>
            <v:rect style="position:absolute;left:2580;top:649;width:8525;height:5588" filled="true" fillcolor="#231f20" stroked="false">
              <v:fill opacity="26214f" type="solid"/>
            </v:rect>
            <v:shape style="position:absolute;left:2552;top:619;width:8313;height:5378" coordorigin="2552,620" coordsize="8313,5378" path="m10605,620l2552,1042,2812,5997,10865,5575,10605,620xe" filled="true" fillcolor="#fcf7ec" stroked="false">
              <v:path arrowok="t"/>
              <v:fill type="solid"/>
            </v:shape>
            <v:shape style="position:absolute;left:6582;top:1080;width:3945;height:4383" coordorigin="6582,1080" coordsize="3945,4383" path="m6830,5461l6601,1080,6582,1081,6812,5462,6830,5461xm10438,3185l10437,3166,7080,3342,7081,3360,10438,3185xm10468,3751l10467,3733,7110,3909,7111,3927,10468,3751xm10497,4315l10496,4296,7140,4472,7141,4491,10497,4315xm10527,4882l10526,4863,7169,5039,7170,5058,10527,4882xe" filled="true" fillcolor="#b87b46" stroked="false">
              <v:path arrowok="t"/>
              <v:fill type="solid"/>
            </v:shape>
            <v:shape style="position:absolute;left:9326;top:891;width:991;height:1254" coordorigin="9326,892" coordsize="991,1254" path="m9387,936l9356,936,9354,950,9348,960,9338,966,9326,970,9328,1000,9340,1002,9350,1008,9357,1018,9360,1030,9359,1042,9352,1052,9343,1060,9331,1062,9333,1094,9345,1096,9355,1102,9362,1112,9365,1124,9363,1136,9357,1146,9348,1152,9336,1156,9338,1186,9350,1188,9360,1194,9367,1204,9370,1216,9368,1228,9362,1238,9353,1246,9341,1248,9343,1280,9355,1282,9365,1288,9372,1298,9375,1310,9373,1322,9367,1332,9358,1338,9346,1342,9347,1374,9360,1374,9370,1382,9377,1390,9380,1402,9378,1414,9372,1424,9363,1432,9351,1434,9352,1466,9364,1468,9375,1474,9382,1484,9385,1496,9383,1508,9377,1518,9367,1524,9356,1528,9357,1560,9369,1562,9379,1568,9387,1576,9390,1588,9388,1600,9382,1610,9372,1618,9360,1622,9362,1652,9374,1654,9384,1660,9391,1670,9395,1682,9393,1694,9387,1704,9377,1712,9365,1714,9367,1746,9379,1748,9389,1754,9396,1762,9399,1774,9398,1786,9392,1796,9382,1804,9370,1808,9372,1838,9384,1840,9394,1846,9401,1856,9404,1868,9402,1880,9396,1890,9387,1898,9375,1900,9377,1932,9389,1934,9399,1940,9406,1948,9409,1960,9407,1972,9401,1984,9392,1990,9380,1994,9382,2024,9394,2026,9404,2032,9411,2042,9414,2054,9412,2066,9406,2076,9397,2084,9385,2086,9386,2118,9399,2120,9409,2126,9416,2136,9419,2146,9450,2146,9452,2134,9458,2124,9468,2116,9480,2112,9561,2112,9573,2108,9651,2108,9654,2106,9666,2104,9744,2104,9747,2102,9759,2098,9838,2098,9840,2096,9852,2094,9930,2094,9933,2092,9945,2088,10024,2088,10026,2086,10038,2084,10116,2084,10119,2082,10131,2078,10210,2078,10212,2076,10224,2074,10303,2074,10305,2072,10317,2068,10316,2038,10303,2036,10293,2030,10286,2020,10283,2008,10285,1996,10291,1986,10300,1978,10312,1976,10311,1944,10299,1942,10288,1936,10281,1928,10278,1916,10280,1904,10286,1892,10296,1886,10307,1882,10306,1852,10294,1850,10283,1844,10276,1834,10273,1822,10275,1810,10281,1800,10291,1792,10303,1790,10301,1758,10289,1756,10279,1750,10271,1742,10268,1730,10270,1716,10276,1706,10286,1700,10298,1696,10296,1666,10284,1664,10274,1658,10267,1648,10264,1636,10265,1624,10271,1614,10281,1606,10293,1604,10291,1572,10279,1570,10269,1564,10262,1554,10259,1542,10260,1530,10267,1520,10276,1514,10288,1510,10286,1480,10274,1478,10264,1472,10257,1462,10254,1450,10256,1438,10262,1428,10271,1420,10283,1418,10281,1386,10269,1384,10259,1378,10252,1368,10249,1356,10251,1344,10257,1334,10266,1328,10278,1324,10277,1294,10264,1292,10254,1286,10247,1276,10244,1264,10246,1252,10252,1242,10261,1234,10273,1232,10272,1200,10259,1198,10249,1192,10242,1182,10239,1170,10241,1158,10247,1148,10257,1142,10268,1138,10267,1106,10255,1106,10244,1098,10237,1090,10234,1078,10236,1066,10242,1056,10252,1048,10264,1046,10262,1014,10250,1012,10240,1006,10232,996,10229,984,10231,972,10236,964,9419,964,9407,962,9397,956,9390,948,9387,936xm9561,2112l9480,2112,9492,2114,9502,2120,9509,2130,9512,2142,9543,2140,9545,2128,9551,2118,9561,2112xm9651,2108l9573,2108,9585,2110,9595,2116,9602,2126,9605,2138,9636,2136,9638,2124,9644,2114,9651,2108xm9744,2104l9678,2104,9688,2112,9695,2120,9698,2132,9729,2130,9731,2118,9737,2108,9744,2104xm9838,2098l9759,2098,9771,2100,9781,2106,9788,2116,9791,2128,9823,2126,9824,2114,9830,2104,9838,2098xm9930,2094l9852,2094,9864,2096,9874,2102,9881,2110,9884,2122,9916,2120,9917,2108,9924,2098,9930,2094xm10024,2088l9945,2088,9957,2090,9967,2096,9974,2106,9977,2118,10009,2116,10011,2104,10017,2094,10024,2088xm10116,2084l10038,2084,10050,2086,10060,2092,10067,2100,10070,2112,10102,2112,10104,2100,10110,2088,10116,2084xm10210,2078l10131,2078,10143,2080,10153,2086,10160,2096,10164,2108,10195,2106,10197,2094,10203,2084,10210,2078xm10303,2074l10224,2074,10236,2076,10246,2082,10254,2092,10257,2104,10288,2102,10290,2090,10296,2080,10303,2074xm9480,930l9449,932,9447,944,9441,954,9431,962,9419,964,10236,964,10237,962,10240,960,9512,960,9500,958,9490,952,9483,942,9480,930xm9573,926l9542,928,9540,940,9534,950,9524,956,9512,960,10240,960,10247,956,10253,954,9593,954,9583,946,9576,938,9573,926xm9666,920l9635,922,9633,934,9627,944,9617,952,9605,954,10253,954,10259,952,10259,950,9699,950,9686,948,9676,942,9669,932,9666,920xm9759,916l9728,918,9726,930,9720,940,9710,946,9699,950,10259,950,10258,946,9792,946,9779,944,9769,938,9762,928,9759,916xm9852,910l9821,912,9819,924,9813,934,9804,942,9792,946,10258,946,10258,940,9885,940,9873,938,9862,932,9855,922,9852,910xm9945,906l9914,908,9912,920,9906,930,9897,938,9885,940,10258,940,10258,936,9978,936,9966,934,9955,928,9948,918,9945,906xm10038,902l10007,902,10005,914,9999,926,9990,932,9978,936,10258,936,10258,930,10071,930,10059,928,10049,922,10041,914,10038,902xm10131,896l10100,898,10098,910,10092,920,10083,928,10071,930,10258,930,10257,926,10164,926,10152,924,10142,918,10135,908,10131,896xm10225,892l10193,894,10191,906,10185,916,10176,922,10164,926,10257,926,10257,920,10245,918,10235,912,10228,904,10225,892xe" filled="true" fillcolor="#e8ced1" stroked="false">
              <v:path arrowok="t"/>
              <v:fill type="solid"/>
            </v:shape>
            <v:rect style="position:absolute;left:1608;top:5632;width:8360;height:5314" filled="true" fillcolor="#231f20" stroked="false">
              <v:fill opacity="26214f" type="solid"/>
            </v:rect>
            <v:shape style="position:absolute;left:1578;top:5603;width:8150;height:5103" coordorigin="1579,5603" coordsize="8150,5103" path="m1665,5603l1579,10565,9641,10705,9728,5744,1665,5603xe" filled="true" fillcolor="#eff8f7" stroked="false">
              <v:path arrowok="t"/>
              <v:fill type="solid"/>
            </v:shape>
            <v:shape style="position:absolute;left:5606;top:5923;width:3777;height:4387" coordorigin="5606,5923" coordsize="3777,4387" path="m5702,5924l5683,5923,5606,10310,5625,10310,5702,5924xm9353,9971l5992,9913,5992,9931,9353,9990,9353,9971xm9363,9404l6002,9345,6002,9364,9363,9423,9363,9404xm9373,8840l6012,8781,6012,8800,9373,8858,9373,8840xm9383,8272l6022,8213,6022,8232,9383,8291,9383,8272xe" filled="true" fillcolor="#b87b46" stroked="false">
              <v:path arrowok="t"/>
              <v:fill type="solid"/>
            </v:shape>
            <v:shape style="position:absolute;left:8408;top:5972;width:952;height:1226" coordorigin="8408,5972" coordsize="952,1226" path="m9340,7166l9154,7166,9166,7168,9175,7174,9182,7184,9184,7196,9215,7198,9218,7186,9225,7176,9235,7170,9247,7168,9340,7168,9340,7166xm9340,7168l9247,7168,9259,7170,9268,7176,9275,7186,9277,7198,9309,7198,9311,7188,9318,7178,9328,7170,9340,7168xm9340,7164l9060,7164,9072,7166,9082,7174,9089,7184,9091,7196,9122,7196,9125,7184,9132,7174,9142,7168,9154,7166,9340,7166,9340,7164xm9340,7162l8967,7162,8979,7164,8989,7172,8995,7182,8998,7194,9029,7194,9032,7182,9038,7172,9048,7166,9060,7164,9340,7164,9340,7162xm9340,7160l8874,7160,8886,7164,8896,7170,8902,7180,8904,7192,8936,7192,8938,7180,8945,7170,8955,7164,8967,7162,9340,7162,9340,7160xm8781,7158l8688,7158,8700,7160,8709,7166,8716,7176,8718,7188,8749,7190,8752,7178,8759,7168,8769,7162,8781,7158xm9340,7158l8781,7158,8793,7162,8803,7168,8809,7178,8811,7190,8843,7190,8845,7178,8852,7170,8862,7162,8874,7160,9340,7160,9340,7158xm9340,7156l8594,7156,8606,7158,8616,7166,8623,7176,8625,7188,8656,7188,8659,7176,8666,7166,8676,7160,8688,7158,9340,7158,9340,7156xm9340,7154l8501,7154,8513,7156,8523,7164,8529,7174,8532,7186,8563,7186,8566,7174,8572,7164,8582,7158,8594,7156,9340,7156,9340,7154xm8491,5972l8460,5972,8457,5984,8450,5994,8440,6000,8428,6002,8428,6034,8440,6036,8449,6044,8456,6054,8458,6066,8455,6078,8449,6088,8439,6094,8427,6096,8426,6128,8438,6130,8448,6136,8454,6146,8456,6158,8454,6170,8447,6180,8437,6186,8425,6190,8424,6220,8436,6224,8446,6230,8453,6240,8455,6252,8452,6264,8445,6274,8435,6280,8423,6282,8423,6314,8435,6316,8444,6324,8451,6334,8453,6346,8450,6358,8444,6366,8434,6374,8422,6376,8421,6406,8433,6410,8443,6416,8449,6426,8451,6438,8449,6450,8442,6460,8432,6466,8420,6468,8419,6500,8431,6502,8441,6510,8448,6520,8450,6532,8447,6544,8440,6554,8430,6560,8418,6562,8418,6594,8430,6596,8440,6602,8446,6612,8448,6624,8446,6636,8439,6646,8429,6652,8417,6656,8416,6686,8428,6690,8438,6696,8444,6706,8447,6718,8444,6730,8437,6740,8427,6746,8415,6748,8415,6780,8427,6782,8436,6790,8443,6798,8445,6812,8442,6824,8436,6832,8426,6840,8414,6842,8413,6872,8425,6876,8435,6882,8441,6892,8443,6904,8441,6916,8434,6926,8424,6932,8412,6934,8411,6966,8423,6968,8433,6976,8439,6986,8442,6998,8439,7010,8432,7020,8422,7026,8410,7028,8410,7060,8422,7062,8431,7068,8438,7078,8440,7090,8437,7102,8431,7112,8421,7118,8409,7120,8408,7152,8420,7156,8430,7162,8436,7172,8438,7184,8470,7184,8472,7172,8479,7162,8489,7156,8501,7154,9340,7154,9341,7138,9329,7134,9319,7128,9312,7118,9310,7106,9313,7094,9320,7084,9330,7078,9342,7076,9342,7044,9330,7042,9320,7034,9314,7024,9312,7012,9314,7000,9321,6990,9331,6984,9343,6982,9344,6950,9332,6948,9322,6942,9316,6932,9313,6920,9316,6908,9323,6898,9333,6892,9345,6890,9345,6858,9333,6856,9324,6848,9317,6838,9315,6826,9318,6814,9324,6804,9334,6798,9346,6796,9347,6764,9335,6762,9325,6756,9319,6746,9317,6734,9319,6722,9326,6712,9336,6704,9348,6702,9349,6672,9337,6668,9327,6662,9321,6652,9318,6640,9321,6628,9328,6618,9338,6612,9350,6610,9350,6578,9338,6576,9329,6568,9322,6558,9320,6546,9323,6534,9329,6524,9339,6518,9351,6516,9352,6484,9340,6482,9330,6476,9324,6466,9322,6454,9324,6442,9331,6432,9341,6426,9353,6424,9354,6392,9342,6390,9332,6382,9325,6372,9323,6360,9326,6348,9333,6338,9343,6332,9355,6330,9355,6298,9343,6296,9333,6290,9327,6280,9325,6268,9327,6256,9334,6246,9344,6238,9356,6236,9357,6206,9345,6202,9335,6196,9329,6186,9326,6174,9329,6162,9336,6152,9346,6146,9358,6144,9358,6112,9346,6110,9337,6102,9330,6092,9328,6080,9331,6068,9337,6060,9347,6052,9360,6050,9360,6018,9267,6018,9261,6016,9174,6016,9162,6014,9080,6014,9068,6012,8987,6012,8975,6010,8801,6010,8795,6008,8708,6008,8702,6006,8615,6006,8603,6004,8521,6004,8509,6002,8500,5994,8493,5984,8491,5972xm9298,5986l9296,5998,9289,6008,9279,6016,9267,6018,9360,6018,9348,6016,9338,6010,9332,6000,9330,5988,9298,5986xm9236,5986l9205,5986,9202,5998,9196,6008,9186,6014,9174,6016,9261,6016,9255,6014,9245,6008,9239,5998,9236,5986xm9143,5984l9112,5984,9109,5996,9102,6006,9093,6012,9080,6014,9162,6014,9152,6006,9146,5996,9143,5984xm9050,5982l9019,5982,9016,5994,9009,6004,8999,6010,8987,6012,9068,6012,9059,6004,9052,5994,9050,5982xm8832,5978l8830,5990,8823,6000,8813,6008,8801,6010,8894,6010,8882,6008,8872,6002,8866,5992,8864,5980,8832,5978xm8926,5980l8923,5992,8916,6002,8906,6008,8894,6010,8975,6010,8966,6004,8959,5994,8957,5982,8926,5980xm8771,5978l8739,5978,8737,5990,8730,5998,8720,6006,8708,6008,8795,6008,8789,6006,8779,6000,8773,5990,8771,5978xm8677,5976l8646,5976,8643,5988,8637,5998,8627,6004,8615,6006,8702,6006,8696,6004,8686,5998,8680,5988,8677,5976xm8584,5974l8553,5974,8550,5986,8543,5996,8533,6002,8521,6004,8603,6004,8593,5996,8586,5986,8584,5974xe" filled="true" fillcolor="#e8ced1" stroked="false">
              <v:path arrowok="t"/>
              <v:fill type="solid"/>
            </v:shape>
            <w10:wrap type="none"/>
          </v:group>
        </w:pict>
      </w:r>
      <w:r>
        <w:rPr/>
        <w:pict>
          <v:shape style="position:absolute;margin-left:145.804977pt;margin-top:71.026833pt;width:150.950pt;height:22.65pt;mso-position-horizontal-relative:page;mso-position-vertical-relative:paragraph;z-index:15912960;rotation:358" type="#_x0000_t136" fillcolor="#b87b46" stroked="f">
            <o:extrusion v:ext="view" autorotationcenter="t"/>
            <v:textpath style="font-family:&quot;Bradley Hand&quot;;font-size:22pt;v-text-kern:t;mso-text-shadow:auto;font-weight:bold" string="Why don’t you"/>
            <w10:wrap type="none"/>
          </v:shape>
        </w:pict>
      </w:r>
      <w:r>
        <w:rPr/>
        <w:pict>
          <v:shape style="position:absolute;margin-left:147.215729pt;margin-top:97.695488pt;width:168.1pt;height:22.65pt;mso-position-horizontal-relative:page;mso-position-vertical-relative:paragraph;z-index:15913472;rotation:358" type="#_x0000_t136" fillcolor="#b87b46" stroked="f">
            <o:extrusion v:ext="view" autorotationcenter="t"/>
            <v:textpath style="font-family:&quot;Bradley Hand&quot;;font-size:22pt;v-text-kern:t;mso-text-shadow:auto;font-weight:bold" string="contribute funds"/>
            <w10:wrap type="none"/>
          </v:shape>
        </w:pict>
      </w:r>
      <w:r>
        <w:rPr>
          <w:color w:val="231F20"/>
          <w:sz w:val="16"/>
        </w:rPr>
        <w:t>50</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r>
        <w:rPr/>
        <w:pict>
          <v:shape style="position:absolute;margin-left:94.557945pt;margin-top:14.549917pt;width:171.7pt;height:191.2pt;mso-position-horizontal-relative:page;mso-position-vertical-relative:paragraph;z-index:-15548416;mso-wrap-distance-left:0;mso-wrap-distance-right:0" type="#_x0000_t202" filled="false" stroked="false">
            <v:textbox inset="0,0,0,0">
              <w:txbxContent>
                <w:p>
                  <w:pPr>
                    <w:spacing w:line="223" w:lineRule="auto" w:before="0"/>
                    <w:ind w:left="58" w:right="-1" w:firstLine="20"/>
                    <w:jc w:val="left"/>
                    <w:rPr>
                      <w:rFonts w:ascii="Georgia-BoldItalic"/>
                      <w:b/>
                      <w:i/>
                      <w:sz w:val="32"/>
                    </w:rPr>
                  </w:pPr>
                  <w:r>
                    <w:rPr>
                      <w:rFonts w:ascii="Georgia-BoldItalic"/>
                      <w:b/>
                      <w:i/>
                      <w:color w:val="B87B46"/>
                      <w:w w:val="70"/>
                      <w:position w:val="4"/>
                      <w:sz w:val="32"/>
                    </w:rPr>
                    <w:t>Our </w:t>
                  </w:r>
                  <w:r>
                    <w:rPr>
                      <w:rFonts w:ascii="Georgia-BoldItalic"/>
                      <w:b/>
                      <w:i/>
                      <w:color w:val="B87B46"/>
                      <w:w w:val="70"/>
                      <w:position w:val="3"/>
                      <w:sz w:val="32"/>
                    </w:rPr>
                    <w:t>work </w:t>
                  </w:r>
                  <w:r>
                    <w:rPr>
                      <w:rFonts w:ascii="Georgia-BoldItalic"/>
                      <w:b/>
                      <w:i/>
                      <w:color w:val="B87B46"/>
                      <w:w w:val="70"/>
                      <w:position w:val="2"/>
                      <w:sz w:val="32"/>
                    </w:rPr>
                    <w:t>on fina</w:t>
                  </w:r>
                  <w:r>
                    <w:rPr>
                      <w:rFonts w:ascii="Georgia-BoldItalic"/>
                      <w:b/>
                      <w:i/>
                      <w:color w:val="B87B46"/>
                      <w:w w:val="70"/>
                      <w:position w:val="1"/>
                      <w:sz w:val="32"/>
                    </w:rPr>
                    <w:t>ncial </w:t>
                  </w:r>
                  <w:r>
                    <w:rPr>
                      <w:rFonts w:ascii="Georgia-BoldItalic"/>
                      <w:b/>
                      <w:i/>
                      <w:color w:val="B87B46"/>
                      <w:w w:val="70"/>
                      <w:sz w:val="32"/>
                    </w:rPr>
                    <w:t>abuse </w:t>
                  </w:r>
                  <w:r>
                    <w:rPr>
                      <w:rFonts w:ascii="Georgia-BoldItalic"/>
                      <w:b/>
                      <w:i/>
                      <w:color w:val="B87B46"/>
                      <w:w w:val="60"/>
                      <w:position w:val="3"/>
                      <w:sz w:val="32"/>
                    </w:rPr>
                    <w:t>(peo</w:t>
                  </w:r>
                  <w:r>
                    <w:rPr>
                      <w:rFonts w:ascii="Georgia-BoldItalic"/>
                      <w:b/>
                      <w:i/>
                      <w:color w:val="B87B46"/>
                      <w:w w:val="60"/>
                      <w:position w:val="2"/>
                      <w:sz w:val="32"/>
                    </w:rPr>
                    <w:t>ple </w:t>
                  </w:r>
                  <w:r>
                    <w:rPr>
                      <w:rFonts w:ascii="Georgia-BoldItalic"/>
                      <w:b/>
                      <w:i/>
                      <w:color w:val="B87B46"/>
                      <w:w w:val="60"/>
                      <w:position w:val="1"/>
                      <w:sz w:val="32"/>
                    </w:rPr>
                    <w:t>being </w:t>
                  </w:r>
                  <w:r>
                    <w:rPr>
                      <w:rFonts w:ascii="Georgia-BoldItalic"/>
                      <w:b/>
                      <w:i/>
                      <w:color w:val="B87B46"/>
                      <w:w w:val="60"/>
                      <w:sz w:val="32"/>
                    </w:rPr>
                    <w:t>defraude</w:t>
                  </w:r>
                  <w:r>
                    <w:rPr>
                      <w:rFonts w:ascii="Georgia-BoldItalic"/>
                      <w:b/>
                      <w:i/>
                      <w:color w:val="B87B46"/>
                      <w:w w:val="60"/>
                      <w:position w:val="0"/>
                      <w:sz w:val="32"/>
                    </w:rPr>
                    <w:t>d, </w:t>
                  </w:r>
                  <w:r>
                    <w:rPr>
                      <w:rFonts w:ascii="Georgia-BoldItalic"/>
                      <w:b/>
                      <w:i/>
                      <w:color w:val="B87B46"/>
                      <w:w w:val="60"/>
                      <w:position w:val="-1"/>
                      <w:sz w:val="32"/>
                    </w:rPr>
                    <w:t>rippe</w:t>
                  </w:r>
                  <w:r>
                    <w:rPr>
                      <w:rFonts w:ascii="Georgia-BoldItalic"/>
                      <w:b/>
                      <w:i/>
                      <w:color w:val="B87B46"/>
                      <w:w w:val="60"/>
                      <w:position w:val="-2"/>
                      <w:sz w:val="32"/>
                    </w:rPr>
                    <w:t>d </w:t>
                  </w:r>
                  <w:r>
                    <w:rPr>
                      <w:rFonts w:ascii="Georgia-BoldItalic"/>
                      <w:b/>
                      <w:i/>
                      <w:color w:val="B87B46"/>
                      <w:w w:val="70"/>
                      <w:position w:val="4"/>
                      <w:sz w:val="32"/>
                    </w:rPr>
                    <w:t>off, sca</w:t>
                  </w:r>
                  <w:r>
                    <w:rPr>
                      <w:rFonts w:ascii="Georgia-BoldItalic"/>
                      <w:b/>
                      <w:i/>
                      <w:color w:val="B87B46"/>
                      <w:w w:val="70"/>
                      <w:position w:val="3"/>
                      <w:sz w:val="32"/>
                    </w:rPr>
                    <w:t>mme</w:t>
                  </w:r>
                  <w:r>
                    <w:rPr>
                      <w:rFonts w:ascii="Georgia-BoldItalic"/>
                      <w:b/>
                      <w:i/>
                      <w:color w:val="B87B46"/>
                      <w:w w:val="70"/>
                      <w:position w:val="2"/>
                      <w:sz w:val="32"/>
                    </w:rPr>
                    <w:t>d, hav</w:t>
                  </w:r>
                  <w:r>
                    <w:rPr>
                      <w:rFonts w:ascii="Georgia-BoldItalic"/>
                      <w:b/>
                      <w:i/>
                      <w:color w:val="B87B46"/>
                      <w:w w:val="70"/>
                      <w:position w:val="1"/>
                      <w:sz w:val="32"/>
                    </w:rPr>
                    <w:t>ing t</w:t>
                  </w:r>
                  <w:r>
                    <w:rPr>
                      <w:rFonts w:ascii="Georgia-BoldItalic"/>
                      <w:b/>
                      <w:i/>
                      <w:color w:val="B87B46"/>
                      <w:w w:val="70"/>
                      <w:sz w:val="32"/>
                    </w:rPr>
                    <w:t>heir </w:t>
                  </w:r>
                  <w:r>
                    <w:rPr>
                      <w:rFonts w:ascii="Georgia-BoldItalic"/>
                      <w:b/>
                      <w:i/>
                      <w:color w:val="B87B46"/>
                      <w:w w:val="70"/>
                      <w:position w:val="5"/>
                      <w:sz w:val="32"/>
                    </w:rPr>
                    <w:t>mo</w:t>
                  </w:r>
                  <w:r>
                    <w:rPr>
                      <w:rFonts w:ascii="Georgia-BoldItalic"/>
                      <w:b/>
                      <w:i/>
                      <w:color w:val="B87B46"/>
                      <w:w w:val="70"/>
                      <w:position w:val="4"/>
                      <w:sz w:val="32"/>
                    </w:rPr>
                    <w:t>ney/pr</w:t>
                  </w:r>
                  <w:r>
                    <w:rPr>
                      <w:rFonts w:ascii="Georgia-BoldItalic"/>
                      <w:b/>
                      <w:i/>
                      <w:color w:val="B87B46"/>
                      <w:w w:val="70"/>
                      <w:position w:val="3"/>
                      <w:sz w:val="32"/>
                    </w:rPr>
                    <w:t>ope</w:t>
                  </w:r>
                  <w:r>
                    <w:rPr>
                      <w:rFonts w:ascii="Georgia-BoldItalic"/>
                      <w:b/>
                      <w:i/>
                      <w:color w:val="B87B46"/>
                      <w:w w:val="70"/>
                      <w:position w:val="2"/>
                      <w:sz w:val="32"/>
                    </w:rPr>
                    <w:t>rty </w:t>
                  </w:r>
                  <w:r>
                    <w:rPr>
                      <w:rFonts w:ascii="Georgia-BoldItalic"/>
                      <w:b/>
                      <w:i/>
                      <w:color w:val="B87B46"/>
                      <w:w w:val="70"/>
                      <w:position w:val="1"/>
                      <w:sz w:val="32"/>
                    </w:rPr>
                    <w:t>misuse</w:t>
                  </w:r>
                  <w:r>
                    <w:rPr>
                      <w:rFonts w:ascii="Georgia-BoldItalic"/>
                      <w:b/>
                      <w:i/>
                      <w:color w:val="B87B46"/>
                      <w:w w:val="70"/>
                      <w:sz w:val="32"/>
                    </w:rPr>
                    <w:t>d)</w:t>
                  </w:r>
                </w:p>
                <w:p>
                  <w:pPr>
                    <w:spacing w:line="225" w:lineRule="auto" w:before="0"/>
                    <w:ind w:left="31" w:right="-1" w:firstLine="20"/>
                    <w:jc w:val="left"/>
                    <w:rPr>
                      <w:rFonts w:ascii="Georgia-BoldItalic"/>
                      <w:b/>
                      <w:i/>
                      <w:sz w:val="32"/>
                    </w:rPr>
                  </w:pPr>
                  <w:r>
                    <w:rPr>
                      <w:rFonts w:ascii="Georgia-BoldItalic"/>
                      <w:b/>
                      <w:i/>
                      <w:color w:val="B87B46"/>
                      <w:w w:val="70"/>
                      <w:position w:val="4"/>
                      <w:sz w:val="32"/>
                    </w:rPr>
                    <w:t>has ale</w:t>
                  </w:r>
                  <w:r>
                    <w:rPr>
                      <w:rFonts w:ascii="Georgia-BoldItalic"/>
                      <w:b/>
                      <w:i/>
                      <w:color w:val="B87B46"/>
                      <w:w w:val="70"/>
                      <w:position w:val="3"/>
                      <w:sz w:val="32"/>
                    </w:rPr>
                    <w:t>rted </w:t>
                  </w:r>
                  <w:r>
                    <w:rPr>
                      <w:rFonts w:ascii="Georgia-BoldItalic"/>
                      <w:b/>
                      <w:i/>
                      <w:color w:val="B87B46"/>
                      <w:w w:val="70"/>
                      <w:position w:val="2"/>
                      <w:sz w:val="32"/>
                    </w:rPr>
                    <w:t>us to </w:t>
                  </w:r>
                  <w:r>
                    <w:rPr>
                      <w:rFonts w:ascii="Georgia-BoldItalic"/>
                      <w:b/>
                      <w:i/>
                      <w:color w:val="B87B46"/>
                      <w:w w:val="70"/>
                      <w:position w:val="1"/>
                      <w:sz w:val="32"/>
                    </w:rPr>
                    <w:t>new </w:t>
                  </w:r>
                  <w:r>
                    <w:rPr>
                      <w:rFonts w:ascii="Georgia-BoldItalic"/>
                      <w:b/>
                      <w:i/>
                      <w:color w:val="B87B46"/>
                      <w:w w:val="70"/>
                      <w:sz w:val="32"/>
                    </w:rPr>
                    <w:t>risks </w:t>
                  </w:r>
                  <w:r>
                    <w:rPr>
                      <w:rFonts w:ascii="Georgia-BoldItalic"/>
                      <w:b/>
                      <w:i/>
                      <w:color w:val="B87B46"/>
                      <w:w w:val="70"/>
                      <w:position w:val="4"/>
                      <w:sz w:val="32"/>
                    </w:rPr>
                    <w:t>conce</w:t>
                  </w:r>
                  <w:r>
                    <w:rPr>
                      <w:rFonts w:ascii="Georgia-BoldItalic"/>
                      <w:b/>
                      <w:i/>
                      <w:color w:val="B87B46"/>
                      <w:w w:val="70"/>
                      <w:position w:val="3"/>
                      <w:sz w:val="32"/>
                    </w:rPr>
                    <w:t>rnin</w:t>
                  </w:r>
                  <w:r>
                    <w:rPr>
                      <w:rFonts w:ascii="Georgia-BoldItalic"/>
                      <w:b/>
                      <w:i/>
                      <w:color w:val="B87B46"/>
                      <w:w w:val="70"/>
                      <w:position w:val="2"/>
                      <w:sz w:val="32"/>
                    </w:rPr>
                    <w:t>g ga</w:t>
                  </w:r>
                  <w:r>
                    <w:rPr>
                      <w:rFonts w:ascii="Georgia-BoldItalic"/>
                      <w:b/>
                      <w:i/>
                      <w:color w:val="B87B46"/>
                      <w:w w:val="70"/>
                      <w:position w:val="1"/>
                      <w:sz w:val="32"/>
                    </w:rPr>
                    <w:t>mblin</w:t>
                  </w:r>
                  <w:r>
                    <w:rPr>
                      <w:rFonts w:ascii="Georgia-BoldItalic"/>
                      <w:b/>
                      <w:i/>
                      <w:color w:val="B87B46"/>
                      <w:w w:val="70"/>
                      <w:sz w:val="32"/>
                    </w:rPr>
                    <w:t>g. How </w:t>
                  </w:r>
                  <w:r>
                    <w:rPr>
                      <w:rFonts w:ascii="Georgia-BoldItalic"/>
                      <w:b/>
                      <w:i/>
                      <w:color w:val="B87B46"/>
                      <w:w w:val="60"/>
                      <w:position w:val="5"/>
                      <w:sz w:val="32"/>
                    </w:rPr>
                    <w:t>might </w:t>
                  </w:r>
                  <w:r>
                    <w:rPr>
                      <w:rFonts w:ascii="Georgia-BoldItalic"/>
                      <w:b/>
                      <w:i/>
                      <w:color w:val="B87B46"/>
                      <w:w w:val="60"/>
                      <w:position w:val="4"/>
                      <w:sz w:val="32"/>
                    </w:rPr>
                    <w:t>we ta</w:t>
                  </w:r>
                  <w:r>
                    <w:rPr>
                      <w:rFonts w:ascii="Georgia-BoldItalic"/>
                      <w:b/>
                      <w:i/>
                      <w:color w:val="B87B46"/>
                      <w:w w:val="60"/>
                      <w:position w:val="3"/>
                      <w:sz w:val="32"/>
                    </w:rPr>
                    <w:t>ckle </w:t>
                  </w:r>
                  <w:r>
                    <w:rPr>
                      <w:rFonts w:ascii="Georgia-BoldItalic"/>
                      <w:b/>
                      <w:i/>
                      <w:color w:val="B87B46"/>
                      <w:w w:val="60"/>
                      <w:position w:val="2"/>
                      <w:sz w:val="32"/>
                    </w:rPr>
                    <w:t>these </w:t>
                  </w:r>
                  <w:r>
                    <w:rPr>
                      <w:rFonts w:ascii="Georgia-BoldItalic"/>
                      <w:b/>
                      <w:i/>
                      <w:color w:val="B87B46"/>
                      <w:w w:val="60"/>
                      <w:position w:val="1"/>
                      <w:sz w:val="32"/>
                    </w:rPr>
                    <w:t>challe</w:t>
                  </w:r>
                  <w:r>
                    <w:rPr>
                      <w:rFonts w:ascii="Georgia-BoldItalic"/>
                      <w:b/>
                      <w:i/>
                      <w:color w:val="B87B46"/>
                      <w:w w:val="60"/>
                      <w:sz w:val="32"/>
                    </w:rPr>
                    <w:t>nges </w:t>
                  </w:r>
                  <w:r>
                    <w:rPr>
                      <w:rFonts w:ascii="Georgia-BoldItalic"/>
                      <w:b/>
                      <w:i/>
                      <w:color w:val="B87B46"/>
                      <w:w w:val="70"/>
                      <w:position w:val="1"/>
                      <w:sz w:val="32"/>
                    </w:rPr>
                    <w:t>in </w:t>
                  </w:r>
                  <w:r>
                    <w:rPr>
                      <w:rFonts w:ascii="Georgia-BoldItalic"/>
                      <w:b/>
                      <w:i/>
                      <w:color w:val="B87B46"/>
                      <w:w w:val="70"/>
                      <w:sz w:val="32"/>
                    </w:rPr>
                    <w:t>Wales?</w:t>
                  </w:r>
                </w:p>
                <w:p>
                  <w:pPr>
                    <w:spacing w:before="294"/>
                    <w:ind w:left="20" w:right="0" w:firstLine="0"/>
                    <w:jc w:val="left"/>
                    <w:rPr>
                      <w:rFonts w:ascii="Georgia-BoldItalic"/>
                      <w:b/>
                      <w:i/>
                      <w:sz w:val="32"/>
                    </w:rPr>
                  </w:pPr>
                  <w:r>
                    <w:rPr>
                      <w:rFonts w:ascii="Georgia-BoldItalic"/>
                      <w:b/>
                      <w:i/>
                      <w:color w:val="B87B46"/>
                      <w:w w:val="70"/>
                      <w:position w:val="1"/>
                      <w:sz w:val="32"/>
                    </w:rPr>
                    <w:t>Regar</w:t>
                  </w:r>
                  <w:r>
                    <w:rPr>
                      <w:rFonts w:ascii="Georgia-BoldItalic"/>
                      <w:b/>
                      <w:i/>
                      <w:color w:val="B87B46"/>
                      <w:w w:val="70"/>
                      <w:sz w:val="32"/>
                    </w:rPr>
                    <w:t>ds</w:t>
                  </w:r>
                </w:p>
              </w:txbxContent>
            </v:textbox>
            <w10:wrap type="topAndBottom"/>
          </v:shape>
        </w:pict>
      </w:r>
      <w:r>
        <w:rPr/>
        <w:pict>
          <v:shape style="position:absolute;margin-left:298.935638pt;margin-top:95.51767pt;width:158.6pt;height:55.8pt;mso-position-horizontal-relative:page;mso-position-vertical-relative:paragraph;z-index:-15547904;mso-wrap-distance-left:0;mso-wrap-distance-right:0" type="#_x0000_t202" filled="false" stroked="false">
            <v:textbox inset="0,0,0,0">
              <w:txbxContent>
                <w:p>
                  <w:pPr>
                    <w:spacing w:line="482" w:lineRule="exact" w:before="0"/>
                    <w:ind w:left="29" w:right="0" w:firstLine="0"/>
                    <w:jc w:val="left"/>
                    <w:rPr>
                      <w:rFonts w:ascii="Georgia-BoldItalic"/>
                      <w:b/>
                      <w:i/>
                      <w:sz w:val="43"/>
                    </w:rPr>
                  </w:pPr>
                  <w:r>
                    <w:rPr>
                      <w:rFonts w:ascii="Georgia-BoldItalic"/>
                      <w:b/>
                      <w:i/>
                      <w:color w:val="B87B46"/>
                      <w:w w:val="60"/>
                      <w:position w:val="3"/>
                      <w:sz w:val="43"/>
                    </w:rPr>
                    <w:t>G</w:t>
                  </w:r>
                  <w:r>
                    <w:rPr>
                      <w:rFonts w:ascii="Georgia-BoldItalic"/>
                      <w:b/>
                      <w:i/>
                      <w:color w:val="B87B46"/>
                      <w:w w:val="60"/>
                      <w:position w:val="2"/>
                      <w:sz w:val="43"/>
                    </w:rPr>
                    <w:t>am</w:t>
                  </w:r>
                  <w:r>
                    <w:rPr>
                      <w:rFonts w:ascii="Georgia-BoldItalic"/>
                      <w:b/>
                      <w:i/>
                      <w:color w:val="B87B46"/>
                      <w:w w:val="60"/>
                      <w:position w:val="1"/>
                      <w:sz w:val="43"/>
                    </w:rPr>
                    <w:t>blin</w:t>
                  </w:r>
                  <w:r>
                    <w:rPr>
                      <w:rFonts w:ascii="Georgia-BoldItalic"/>
                      <w:b/>
                      <w:i/>
                      <w:color w:val="B87B46"/>
                      <w:w w:val="60"/>
                      <w:sz w:val="43"/>
                    </w:rPr>
                    <w:t>g Commi</w:t>
                  </w:r>
                  <w:r>
                    <w:rPr>
                      <w:rFonts w:ascii="Georgia-BoldItalic"/>
                      <w:b/>
                      <w:i/>
                      <w:color w:val="B87B46"/>
                      <w:w w:val="60"/>
                      <w:position w:val="-1"/>
                      <w:sz w:val="43"/>
                    </w:rPr>
                    <w:t>ssio</w:t>
                  </w:r>
                  <w:r>
                    <w:rPr>
                      <w:rFonts w:ascii="Georgia-BoldItalic"/>
                      <w:b/>
                      <w:i/>
                      <w:color w:val="B87B46"/>
                      <w:w w:val="60"/>
                      <w:position w:val="-2"/>
                      <w:sz w:val="43"/>
                    </w:rPr>
                    <w:t>n</w:t>
                  </w:r>
                </w:p>
                <w:p>
                  <w:pPr>
                    <w:spacing w:line="495" w:lineRule="exact" w:before="0"/>
                    <w:ind w:left="20" w:right="0" w:firstLine="0"/>
                    <w:jc w:val="left"/>
                    <w:rPr>
                      <w:rFonts w:ascii="Georgia-BoldItalic"/>
                      <w:b/>
                      <w:i/>
                      <w:sz w:val="43"/>
                    </w:rPr>
                  </w:pPr>
                  <w:r>
                    <w:rPr>
                      <w:rFonts w:ascii="Georgia-BoldItalic"/>
                      <w:b/>
                      <w:i/>
                      <w:color w:val="B87B46"/>
                      <w:w w:val="70"/>
                      <w:position w:val="2"/>
                      <w:sz w:val="43"/>
                    </w:rPr>
                    <w:t>and </w:t>
                  </w:r>
                  <w:r>
                    <w:rPr>
                      <w:rFonts w:ascii="Georgia-BoldItalic"/>
                      <w:b/>
                      <w:i/>
                      <w:color w:val="B87B46"/>
                      <w:w w:val="70"/>
                      <w:position w:val="1"/>
                      <w:sz w:val="43"/>
                    </w:rPr>
                    <w:t>Ba</w:t>
                  </w:r>
                  <w:r>
                    <w:rPr>
                      <w:rFonts w:ascii="Georgia-BoldItalic"/>
                      <w:b/>
                      <w:i/>
                      <w:color w:val="B87B46"/>
                      <w:w w:val="70"/>
                      <w:sz w:val="43"/>
                    </w:rPr>
                    <w:t>nks</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3"/>
        </w:rPr>
      </w:pPr>
      <w:r>
        <w:rPr/>
        <w:pict>
          <v:shape style="position:absolute;margin-left:332.680725pt;margin-top:17.084648pt;width:130.35pt;height:75.8pt;mso-position-horizontal-relative:page;mso-position-vertical-relative:paragraph;z-index:-15547392;mso-wrap-distance-left:0;mso-wrap-distance-right:0" type="#_x0000_t202" filled="false" stroked="false">
            <v:textbox inset="0,0,0,0">
              <w:txbxContent>
                <w:p>
                  <w:pPr>
                    <w:spacing w:line="660" w:lineRule="exact" w:before="7"/>
                    <w:ind w:left="31" w:right="0" w:hanging="12"/>
                    <w:jc w:val="left"/>
                    <w:rPr>
                      <w:rFonts w:ascii="Georgia-BoldItalic"/>
                      <w:b/>
                      <w:i/>
                      <w:sz w:val="62"/>
                    </w:rPr>
                  </w:pPr>
                  <w:r>
                    <w:rPr>
                      <w:rFonts w:ascii="Georgia-BoldItalic"/>
                      <w:b/>
                      <w:i/>
                      <w:color w:val="B87B46"/>
                      <w:w w:val="60"/>
                      <w:sz w:val="62"/>
                    </w:rPr>
                    <w:t>W</w:t>
                  </w:r>
                  <w:r>
                    <w:rPr>
                      <w:rFonts w:ascii="Georgia-BoldItalic"/>
                      <w:b/>
                      <w:i/>
                      <w:color w:val="B87B46"/>
                      <w:w w:val="60"/>
                      <w:position w:val="1"/>
                      <w:sz w:val="62"/>
                    </w:rPr>
                    <w:t>est</w:t>
                  </w:r>
                  <w:r>
                    <w:rPr>
                      <w:rFonts w:ascii="Georgia-BoldItalic"/>
                      <w:b/>
                      <w:i/>
                      <w:color w:val="B87B46"/>
                      <w:w w:val="60"/>
                      <w:position w:val="2"/>
                      <w:sz w:val="62"/>
                    </w:rPr>
                    <w:t>minste</w:t>
                  </w:r>
                  <w:r>
                    <w:rPr>
                      <w:rFonts w:ascii="Georgia-BoldItalic"/>
                      <w:b/>
                      <w:i/>
                      <w:color w:val="B87B46"/>
                      <w:w w:val="60"/>
                      <w:position w:val="4"/>
                      <w:sz w:val="62"/>
                    </w:rPr>
                    <w:t>r </w:t>
                  </w:r>
                  <w:r>
                    <w:rPr>
                      <w:rFonts w:ascii="Georgia-BoldItalic"/>
                      <w:b/>
                      <w:i/>
                      <w:color w:val="B87B46"/>
                      <w:w w:val="60"/>
                      <w:sz w:val="62"/>
                    </w:rPr>
                    <w:t>Go</w:t>
                  </w:r>
                  <w:r>
                    <w:rPr>
                      <w:rFonts w:ascii="Georgia-BoldItalic"/>
                      <w:b/>
                      <w:i/>
                      <w:color w:val="B87B46"/>
                      <w:w w:val="60"/>
                      <w:position w:val="1"/>
                      <w:sz w:val="62"/>
                    </w:rPr>
                    <w:t>ve</w:t>
                  </w:r>
                  <w:r>
                    <w:rPr>
                      <w:rFonts w:ascii="Georgia-BoldItalic"/>
                      <w:b/>
                      <w:i/>
                      <w:color w:val="B87B46"/>
                      <w:w w:val="60"/>
                      <w:position w:val="2"/>
                      <w:sz w:val="62"/>
                    </w:rPr>
                    <w:t>rnme</w:t>
                  </w:r>
                  <w:r>
                    <w:rPr>
                      <w:rFonts w:ascii="Georgia-BoldItalic"/>
                      <w:b/>
                      <w:i/>
                      <w:color w:val="B87B46"/>
                      <w:w w:val="60"/>
                      <w:position w:val="4"/>
                      <w:sz w:val="62"/>
                    </w:rPr>
                    <w:t>nt</w:t>
                  </w:r>
                </w:p>
              </w:txbxContent>
            </v:textbox>
            <w10:wrap type="topAndBottom"/>
          </v:shape>
        </w:pict>
      </w:r>
    </w:p>
    <w:p>
      <w:pPr>
        <w:spacing w:after="0"/>
        <w:rPr>
          <w:sz w:val="23"/>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19616" filled="true" fillcolor="#d5583b" stroked="false">
            <v:fill type="solid"/>
            <w10:wrap type="none"/>
          </v:rect>
        </w:pict>
      </w:r>
      <w:r>
        <w:rPr/>
        <w:pict>
          <v:shape style="position:absolute;margin-left:573.765198pt;margin-top:172.998016pt;width:15.7pt;height:495.9pt;mso-position-horizontal-relative:page;mso-position-vertical-relative:page;z-index:15920128" type="#_x0000_t202" filled="false" stroked="false">
            <v:textbox inset="0,0,0,0" style="layout-flow:vertical">
              <w:txbxContent>
                <w:p>
                  <w:pPr>
                    <w:spacing w:before="20"/>
                    <w:ind w:left="20" w:right="0" w:firstLine="0"/>
                    <w:jc w:val="left"/>
                    <w:rPr>
                      <w:sz w:val="20"/>
                    </w:rPr>
                  </w:pPr>
                  <w:r>
                    <w:rPr>
                      <w:color w:val="FFFFFF"/>
                      <w:sz w:val="20"/>
                    </w:rPr>
                    <w:t>The National </w:t>
                  </w:r>
                  <w:r>
                    <w:rPr>
                      <w:color w:val="FFFFFF"/>
                      <w:spacing w:val="-4"/>
                      <w:sz w:val="20"/>
                    </w:rPr>
                    <w:t>Board’s </w:t>
                  </w:r>
                  <w:r>
                    <w:rPr>
                      <w:color w:val="FFFFFF"/>
                      <w:sz w:val="20"/>
                    </w:rPr>
                    <w:t>support and advice to Safeguarding Boards with a view to ensuring that they are effective</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51</w:t>
      </w:r>
    </w:p>
    <w:p>
      <w:pPr>
        <w:pStyle w:val="BodyText"/>
        <w:rPr>
          <w:sz w:val="20"/>
        </w:rPr>
      </w:pPr>
    </w:p>
    <w:p>
      <w:pPr>
        <w:pStyle w:val="BodyText"/>
        <w:rPr>
          <w:sz w:val="20"/>
        </w:rPr>
      </w:pPr>
    </w:p>
    <w:p>
      <w:pPr>
        <w:pStyle w:val="BodyText"/>
        <w:spacing w:before="5"/>
        <w:rPr>
          <w:sz w:val="29"/>
        </w:rPr>
      </w:pPr>
      <w:r>
        <w:rPr/>
        <w:pict>
          <v:group style="position:absolute;margin-left:21.85pt;margin-top:22.428699pt;width:510.95pt;height:110.6pt;mso-position-horizontal-relative:page;mso-position-vertical-relative:paragraph;z-index:-15538688;mso-wrap-distance-left:0;mso-wrap-distance-right:0" coordorigin="437,449" coordsize="10219,2212">
            <v:rect style="position:absolute;left:437;top:533;width:10219;height:1985" filled="true" fillcolor="#d5583b" stroked="false">
              <v:fill type="solid"/>
            </v:rect>
            <v:line style="position:absolute" from="1450,449" to="1450,2660" stroked="true" strokeweight="2pt" strokecolor="#ffffff">
              <v:stroke dashstyle="solid"/>
            </v:line>
            <v:shape style="position:absolute;left:1470;top:533;width:9186;height:1985" type="#_x0000_t202" filled="true" fillcolor="#d5583b" stroked="false">
              <v:textbox inset="0,0,0,0">
                <w:txbxContent>
                  <w:p>
                    <w:pPr>
                      <w:spacing w:line="218" w:lineRule="auto" w:before="305"/>
                      <w:ind w:left="347" w:right="215" w:firstLine="0"/>
                      <w:jc w:val="left"/>
                      <w:rPr>
                        <w:sz w:val="40"/>
                      </w:rPr>
                    </w:pPr>
                    <w:r>
                      <w:rPr>
                        <w:color w:val="FFFFFF"/>
                        <w:sz w:val="40"/>
                      </w:rPr>
                      <w:t>The National Board’s support and advice to Safeguarding Boards with a view to ensuring that they are effective</w:t>
                    </w:r>
                  </w:p>
                </w:txbxContent>
              </v:textbox>
              <v:fill type="solid"/>
              <w10:wrap type="none"/>
            </v:shape>
            <v:shape style="position:absolute;left:437;top:533;width:994;height:1985" type="#_x0000_t202" filled="true" fillcolor="#d5583b" stroked="false">
              <v:textbox inset="0,0,0,0">
                <w:txbxContent>
                  <w:p>
                    <w:pPr>
                      <w:spacing w:before="581"/>
                      <w:ind w:left="340" w:right="0" w:firstLine="0"/>
                      <w:jc w:val="left"/>
                      <w:rPr>
                        <w:rFonts w:ascii="Avenir"/>
                        <w:b/>
                        <w:sz w:val="60"/>
                      </w:rPr>
                    </w:pPr>
                    <w:r>
                      <w:rPr>
                        <w:rFonts w:ascii="Avenir"/>
                        <w:b/>
                        <w:color w:val="FFFFFF"/>
                        <w:sz w:val="60"/>
                      </w:rPr>
                      <w:t>2</w:t>
                    </w:r>
                  </w:p>
                </w:txbxContent>
              </v:textbox>
              <v:fill type="solid"/>
              <w10:wrap type="none"/>
            </v:shape>
            <w10:wrap type="topAndBottom"/>
          </v:group>
        </w:pict>
      </w:r>
    </w:p>
    <w:p>
      <w:pPr>
        <w:pStyle w:val="BodyText"/>
        <w:spacing w:before="11"/>
      </w:pPr>
    </w:p>
    <w:p>
      <w:pPr>
        <w:pStyle w:val="BodyText"/>
        <w:spacing w:line="230" w:lineRule="auto"/>
        <w:ind w:left="360" w:right="979"/>
      </w:pPr>
      <w:r>
        <w:rPr>
          <w:color w:val="231F20"/>
        </w:rPr>
        <w:t>The National Board’s 2018-19 work plan has a strong sense of continuity with its previous work programme - which gave significance to the Social Services and Well-being (Wales) Act 2014 and to the best understanding of the National Board’s members. It has faith in hopeful ideas and fresh approaches. It has a long-term perspective and gives emphasis to the importance of ways of</w:t>
      </w:r>
    </w:p>
    <w:p>
      <w:pPr>
        <w:pStyle w:val="BodyText"/>
        <w:spacing w:line="230" w:lineRule="auto" w:before="1"/>
        <w:ind w:left="360" w:right="640"/>
      </w:pPr>
      <w:r>
        <w:rPr>
          <w:color w:val="231F20"/>
        </w:rPr>
        <w:t>communicating to better serve the twin goals of preventing children and adults from becoming at risk of abuse, neglect and harm and protecting children and adults who are at risk of abuse, neglect or other kinds of harm.</w:t>
      </w:r>
    </w:p>
    <w:p>
      <w:pPr>
        <w:pStyle w:val="BodyText"/>
        <w:spacing w:before="10"/>
        <w:rPr>
          <w:sz w:val="20"/>
        </w:rPr>
      </w:pPr>
    </w:p>
    <w:p>
      <w:pPr>
        <w:pStyle w:val="BodyText"/>
        <w:spacing w:line="286" w:lineRule="exact"/>
        <w:ind w:left="360"/>
      </w:pPr>
      <w:r>
        <w:rPr>
          <w:color w:val="231F20"/>
        </w:rPr>
        <w:t>Our understanding of providing support and advice to Safeguarding Boards includes attention</w:t>
      </w:r>
    </w:p>
    <w:p>
      <w:pPr>
        <w:pStyle w:val="BodyText"/>
        <w:spacing w:line="230" w:lineRule="auto" w:before="3"/>
        <w:ind w:left="360" w:right="739"/>
      </w:pPr>
      <w:r>
        <w:rPr>
          <w:color w:val="231F20"/>
        </w:rPr>
        <w:t>to   the agendas, plans and work programmes of the Regional Safeguarding Boards. Five members of the National Board have attended between 7-15 meetings of the Regional Safeguarding Boards since 2016. This has ensured grounding in their experience and familiarity with the enactment of </w:t>
      </w:r>
      <w:r>
        <w:rPr>
          <w:color w:val="231F20"/>
          <w:spacing w:val="-4"/>
        </w:rPr>
        <w:t>their </w:t>
      </w:r>
      <w:r>
        <w:rPr>
          <w:color w:val="231F20"/>
        </w:rPr>
        <w:t>work programmes. It has also been a means of sharing ideas from elsewhere in Wales and the</w:t>
      </w:r>
      <w:r>
        <w:rPr>
          <w:color w:val="231F20"/>
          <w:spacing w:val="-16"/>
        </w:rPr>
        <w:t> </w:t>
      </w:r>
      <w:r>
        <w:rPr>
          <w:color w:val="231F20"/>
        </w:rPr>
        <w:t>UK</w:t>
      </w:r>
    </w:p>
    <w:p>
      <w:pPr>
        <w:pStyle w:val="BodyText"/>
        <w:spacing w:line="283" w:lineRule="exact"/>
        <w:ind w:left="360"/>
      </w:pPr>
      <w:r>
        <w:rPr>
          <w:color w:val="231F20"/>
        </w:rPr>
        <w:t>for example.</w:t>
      </w:r>
    </w:p>
    <w:p>
      <w:pPr>
        <w:pStyle w:val="BodyText"/>
        <w:spacing w:before="4"/>
        <w:rPr>
          <w:sz w:val="21"/>
        </w:rPr>
      </w:pPr>
    </w:p>
    <w:p>
      <w:pPr>
        <w:pStyle w:val="BodyText"/>
        <w:spacing w:line="228" w:lineRule="auto" w:before="1"/>
        <w:ind w:left="360" w:right="960"/>
      </w:pPr>
      <w:r>
        <w:rPr>
          <w:color w:val="231F20"/>
        </w:rPr>
        <w:t>Attendance at Regional Safeguarding Boards and scanning their annual reports has revealed the necessity of complementing the safeguarding information which features on Social Care Wales’ website to enhance </w:t>
      </w:r>
      <w:r>
        <w:rPr>
          <w:rFonts w:ascii="Avenir" w:hAnsi="Avenir"/>
          <w:b/>
          <w:color w:val="231F20"/>
        </w:rPr>
        <w:t>“legal safeguarding </w:t>
      </w:r>
      <w:r>
        <w:rPr>
          <w:rFonts w:ascii="Avenir" w:hAnsi="Avenir"/>
          <w:b/>
          <w:color w:val="231F20"/>
          <w:spacing w:val="-3"/>
        </w:rPr>
        <w:t>literacy.” </w:t>
      </w:r>
      <w:r>
        <w:rPr>
          <w:color w:val="231F20"/>
        </w:rPr>
        <w:t>The </w:t>
      </w:r>
      <w:r>
        <w:rPr>
          <w:rFonts w:ascii="Avenir" w:hAnsi="Avenir"/>
          <w:i/>
          <w:color w:val="231F20"/>
        </w:rPr>
        <w:t>NISB Wales Guide: Basic Legal Principles </w:t>
      </w:r>
      <w:r>
        <w:rPr>
          <w:color w:val="231F20"/>
        </w:rPr>
        <w:t>may be downloaded from the National </w:t>
      </w:r>
      <w:r>
        <w:rPr>
          <w:color w:val="231F20"/>
          <w:spacing w:val="-5"/>
        </w:rPr>
        <w:t>Board’s </w:t>
      </w:r>
      <w:r>
        <w:rPr>
          <w:color w:val="231F20"/>
        </w:rPr>
        <w:t>website. This has been written by Abla O’Callagan, Laura Shepherd and Ruth Henke QC</w:t>
      </w:r>
      <w:r>
        <w:rPr>
          <w:color w:val="231F20"/>
          <w:position w:val="7"/>
          <w:sz w:val="13"/>
        </w:rPr>
        <w:t>6</w:t>
      </w:r>
      <w:r>
        <w:rPr>
          <w:color w:val="231F20"/>
        </w:rPr>
        <w:t>. Also, since practitioners involved in safeguarding children and adults may be overwhelmed by the </w:t>
      </w:r>
      <w:r>
        <w:rPr>
          <w:rFonts w:ascii="Avenir" w:hAnsi="Avenir"/>
          <w:b/>
          <w:color w:val="231F20"/>
        </w:rPr>
        <w:t>task of learning from criminal trials and key inquiries</w:t>
      </w:r>
      <w:r>
        <w:rPr>
          <w:color w:val="231F20"/>
        </w:rPr>
        <w:t>, the National Board is bringing together the lessons of significant Welsh cases which are likely to </w:t>
      </w:r>
      <w:r>
        <w:rPr>
          <w:color w:val="231F20"/>
          <w:spacing w:val="-9"/>
        </w:rPr>
        <w:t>be </w:t>
      </w:r>
      <w:r>
        <w:rPr>
          <w:color w:val="231F20"/>
        </w:rPr>
        <w:t>remembered from the media and exploring how such a resource may be sustained and developed in the</w:t>
      </w:r>
      <w:r>
        <w:rPr>
          <w:color w:val="231F20"/>
          <w:spacing w:val="-1"/>
        </w:rPr>
        <w:t> </w:t>
      </w:r>
      <w:r>
        <w:rPr>
          <w:color w:val="231F20"/>
        </w:rPr>
        <w:t>future.</w:t>
      </w:r>
    </w:p>
    <w:p>
      <w:pPr>
        <w:pStyle w:val="BodyText"/>
      </w:pPr>
    </w:p>
    <w:p>
      <w:pPr>
        <w:pStyle w:val="BodyText"/>
        <w:spacing w:line="230" w:lineRule="auto"/>
        <w:ind w:left="360" w:right="672"/>
      </w:pPr>
      <w:r>
        <w:rPr>
          <w:color w:val="231F20"/>
        </w:rPr>
        <w:t>During November 2017 the National Board and the Welsh Government hosted a conference: </w:t>
      </w:r>
      <w:r>
        <w:rPr>
          <w:rFonts w:ascii="Avenir-BlackOblique" w:hAnsi="Avenir-BlackOblique"/>
          <w:b/>
          <w:i/>
          <w:color w:val="231F20"/>
        </w:rPr>
        <w:t>Safeguarding in Sport</w:t>
      </w:r>
      <w:r>
        <w:rPr>
          <w:rFonts w:ascii="Avenir" w:hAnsi="Avenir"/>
          <w:i/>
          <w:color w:val="231F20"/>
        </w:rPr>
        <w:t>: </w:t>
      </w:r>
      <w:r>
        <w:rPr>
          <w:rFonts w:ascii="Avenir" w:hAnsi="Avenir"/>
          <w:i/>
          <w:color w:val="231F20"/>
          <w:spacing w:val="-5"/>
        </w:rPr>
        <w:t>Taking </w:t>
      </w:r>
      <w:r>
        <w:rPr>
          <w:rFonts w:ascii="Avenir" w:hAnsi="Avenir"/>
          <w:i/>
          <w:color w:val="231F20"/>
        </w:rPr>
        <w:t>Responsibility – </w:t>
      </w:r>
      <w:r>
        <w:rPr>
          <w:rFonts w:ascii="Avenir" w:hAnsi="Avenir"/>
          <w:i/>
          <w:color w:val="231F20"/>
          <w:spacing w:val="-5"/>
        </w:rPr>
        <w:t>Taking </w:t>
      </w:r>
      <w:r>
        <w:rPr>
          <w:rFonts w:ascii="Avenir" w:hAnsi="Avenir"/>
          <w:i/>
          <w:color w:val="231F20"/>
        </w:rPr>
        <w:t>Action, </w:t>
      </w:r>
      <w:r>
        <w:rPr>
          <w:color w:val="231F20"/>
        </w:rPr>
        <w:t>to acknowledge the extraordinary achievements of those people whose lives have been disfigured by abuse and who have triumphed </w:t>
      </w:r>
      <w:r>
        <w:rPr>
          <w:color w:val="231F20"/>
          <w:spacing w:val="-6"/>
        </w:rPr>
        <w:t>in </w:t>
      </w:r>
      <w:r>
        <w:rPr>
          <w:color w:val="231F20"/>
        </w:rPr>
        <w:t>strength and </w:t>
      </w:r>
      <w:r>
        <w:rPr>
          <w:color w:val="231F20"/>
          <w:spacing w:val="-3"/>
        </w:rPr>
        <w:t>dignity. </w:t>
      </w:r>
      <w:r>
        <w:rPr>
          <w:color w:val="231F20"/>
        </w:rPr>
        <w:t>Swimming, running, football, cycling, gymnastics and rugby and other physical activities are good for our minds, bodies and well-being. As well as the health benefits, sports teach us about trying, training, teamwork and winning or losing </w:t>
      </w:r>
      <w:r>
        <w:rPr>
          <w:color w:val="231F20"/>
          <w:spacing w:val="-3"/>
        </w:rPr>
        <w:t>together. </w:t>
      </w:r>
      <w:r>
        <w:rPr>
          <w:color w:val="231F20"/>
        </w:rPr>
        <w:t>The self-confidence and self- esteem of children who enjoy sports and of talented sportsmen and sportswomen is tangible. It is thrilling to watch exceptionally accomplished sportsmen and women. </w:t>
      </w:r>
      <w:r>
        <w:rPr>
          <w:color w:val="231F20"/>
          <w:spacing w:val="-4"/>
        </w:rPr>
        <w:t>Talented </w:t>
      </w:r>
      <w:r>
        <w:rPr>
          <w:color w:val="231F20"/>
        </w:rPr>
        <w:t>sportsmen and women add to the “feel-good” of a population and pride in international prestige. Their achievements </w:t>
      </w:r>
      <w:r>
        <w:rPr>
          <w:color w:val="231F20"/>
          <w:spacing w:val="-4"/>
        </w:rPr>
        <w:t>inspire </w:t>
      </w:r>
      <w:r>
        <w:rPr>
          <w:color w:val="231F20"/>
        </w:rPr>
        <w:t>others and create a wider pool from which future champions may be identified. The event confirmed that the possession of exceptional sporting talents may result in recruitment by a talent “scout” and/ or one-to-one coaching by people who are renowned in their own right. These people enjoy prestige and considerable leverage over whether or not children and young people achieve success in their chosen sport. </w:t>
      </w:r>
      <w:r>
        <w:rPr>
          <w:color w:val="231F20"/>
          <w:spacing w:val="-3"/>
        </w:rPr>
        <w:t>However, </w:t>
      </w:r>
      <w:r>
        <w:rPr>
          <w:color w:val="231F20"/>
        </w:rPr>
        <w:t>if coaches have an ulterior purpose, young lives can be capsized – and since the majority of sports are unregulated, there is a case for assertive campaigning.</w:t>
      </w:r>
    </w:p>
    <w:p>
      <w:pPr>
        <w:pStyle w:val="BodyText"/>
        <w:rPr>
          <w:sz w:val="18"/>
        </w:rPr>
      </w:pPr>
      <w:r>
        <w:rPr/>
        <w:pict>
          <v:shape style="position:absolute;margin-left:34.015701pt;margin-top:14.38009pt;width:72pt;height:.1pt;mso-position-horizontal-relative:page;mso-position-vertical-relative:paragraph;z-index:-15538176;mso-wrap-distance-left:0;mso-wrap-distance-right:0" coordorigin="680,288" coordsize="1440,0" path="m680,288l2120,288e" filled="false" stroked="true" strokeweight="1pt" strokecolor="#231f20">
            <v:path arrowok="t"/>
            <v:stroke dashstyle="solid"/>
            <w10:wrap type="topAndBottom"/>
          </v:shape>
        </w:pict>
      </w:r>
    </w:p>
    <w:p>
      <w:pPr>
        <w:pStyle w:val="ListParagraph"/>
        <w:numPr>
          <w:ilvl w:val="0"/>
          <w:numId w:val="28"/>
        </w:numPr>
        <w:tabs>
          <w:tab w:pos="561" w:val="left" w:leader="none"/>
        </w:tabs>
        <w:spacing w:line="240" w:lineRule="auto" w:before="1" w:after="0"/>
        <w:ind w:left="560" w:right="0" w:hanging="201"/>
        <w:jc w:val="left"/>
        <w:rPr>
          <w:sz w:val="14"/>
        </w:rPr>
      </w:pPr>
      <w:r>
        <w:rPr>
          <w:color w:val="231F20"/>
          <w:sz w:val="14"/>
        </w:rPr>
        <w:t>This text was consulted upon at a Legal Wales conference on 12 October</w:t>
      </w:r>
      <w:r>
        <w:rPr>
          <w:color w:val="231F20"/>
          <w:spacing w:val="-1"/>
          <w:sz w:val="14"/>
        </w:rPr>
        <w:t> </w:t>
      </w:r>
      <w:r>
        <w:rPr>
          <w:color w:val="231F20"/>
          <w:sz w:val="14"/>
        </w:rPr>
        <w:t>2018</w:t>
      </w:r>
    </w:p>
    <w:p>
      <w:pPr>
        <w:spacing w:after="0" w:line="240" w:lineRule="auto"/>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55808" filled="true" fillcolor="#d5583b" stroked="false">
            <v:fill type="solid"/>
            <w10:wrap type="none"/>
          </v:rect>
        </w:pict>
      </w:r>
    </w:p>
    <w:p>
      <w:pPr>
        <w:pStyle w:val="BodyText"/>
        <w:spacing w:before="6"/>
      </w:pPr>
    </w:p>
    <w:p>
      <w:pPr>
        <w:tabs>
          <w:tab w:pos="7398" w:val="left" w:leader="none"/>
        </w:tabs>
        <w:spacing w:before="100"/>
        <w:ind w:left="927" w:right="0" w:firstLine="0"/>
        <w:jc w:val="left"/>
        <w:rPr>
          <w:sz w:val="16"/>
        </w:rPr>
      </w:pPr>
      <w:r>
        <w:rPr>
          <w:color w:val="231F20"/>
          <w:sz w:val="16"/>
        </w:rPr>
        <w:t>52</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5"/>
        <w:rPr>
          <w:sz w:val="23"/>
        </w:rPr>
      </w:pPr>
    </w:p>
    <w:p>
      <w:pPr>
        <w:pStyle w:val="BodyText"/>
        <w:spacing w:line="228" w:lineRule="auto" w:before="111"/>
        <w:ind w:left="927" w:right="308"/>
      </w:pPr>
      <w:r>
        <w:rPr/>
        <w:pict>
          <v:shape style="position:absolute;margin-left:7.0315pt;margin-top:73.115067pt;width:15.7pt;height:495.9pt;mso-position-horizontal-relative:page;mso-position-vertical-relative:paragraph;z-index:-17655296" type="#_x0000_t202" filled="false" stroked="false">
            <v:textbox inset="0,0,0,0" style="layout-flow:vertical;mso-layout-flow-alt:bottom-to-top">
              <w:txbxContent>
                <w:p>
                  <w:pPr>
                    <w:spacing w:before="20"/>
                    <w:ind w:left="20" w:right="0" w:firstLine="0"/>
                    <w:jc w:val="left"/>
                    <w:rPr>
                      <w:sz w:val="20"/>
                    </w:rPr>
                  </w:pPr>
                  <w:r>
                    <w:rPr>
                      <w:color w:val="FFFFFF"/>
                      <w:sz w:val="20"/>
                    </w:rPr>
                    <w:t>The National </w:t>
                  </w:r>
                  <w:r>
                    <w:rPr>
                      <w:color w:val="FFFFFF"/>
                      <w:spacing w:val="-4"/>
                      <w:sz w:val="20"/>
                    </w:rPr>
                    <w:t>Board’s </w:t>
                  </w:r>
                  <w:r>
                    <w:rPr>
                      <w:color w:val="FFFFFF"/>
                      <w:sz w:val="20"/>
                    </w:rPr>
                    <w:t>support and advice to Safeguarding Boards with a view to ensuring that they are effective</w:t>
                  </w:r>
                </w:p>
              </w:txbxContent>
            </v:textbox>
            <w10:wrap type="none"/>
          </v:shape>
        </w:pict>
      </w:r>
      <w:r>
        <w:rPr>
          <w:color w:val="231F20"/>
        </w:rPr>
        <w:t>Campaigning is essential as we work towards the common cause of safeguarding for everyone at risk of harm. The National Board, the Regional Safeguarding Boards and the Welsh Government have determined to strengthen and reinforce safeguarding consciousness by combining forces and developing </w:t>
      </w:r>
      <w:r>
        <w:rPr>
          <w:rFonts w:ascii="Avenir"/>
          <w:b/>
          <w:color w:val="231F20"/>
        </w:rPr>
        <w:t>inclusive campaigns</w:t>
      </w:r>
      <w:r>
        <w:rPr>
          <w:color w:val="231F20"/>
        </w:rPr>
        <w:t>, which make sure that there is space for people who are typically ignored to speak out. Our own consultations with individuals and groups throughout Wales and the UK has engaged our interest in:</w:t>
      </w:r>
    </w:p>
    <w:p>
      <w:pPr>
        <w:pStyle w:val="BodyText"/>
      </w:pPr>
    </w:p>
    <w:p>
      <w:pPr>
        <w:pStyle w:val="ListParagraph"/>
        <w:numPr>
          <w:ilvl w:val="1"/>
          <w:numId w:val="28"/>
        </w:numPr>
        <w:tabs>
          <w:tab w:pos="1267" w:val="left" w:leader="none"/>
          <w:tab w:pos="1268" w:val="left" w:leader="none"/>
        </w:tabs>
        <w:spacing w:line="230" w:lineRule="auto" w:before="0" w:after="0"/>
        <w:ind w:left="1267" w:right="471" w:hanging="340"/>
        <w:jc w:val="left"/>
        <w:rPr>
          <w:rFonts w:ascii="Avenir" w:hAnsi="Avenir"/>
          <w:i/>
          <w:sz w:val="22"/>
        </w:rPr>
      </w:pPr>
      <w:r>
        <w:rPr>
          <w:color w:val="231F20"/>
          <w:sz w:val="22"/>
        </w:rPr>
        <w:t>“contextual safeguarding”</w:t>
      </w:r>
      <w:r>
        <w:rPr>
          <w:color w:val="231F20"/>
          <w:position w:val="7"/>
          <w:sz w:val="13"/>
        </w:rPr>
        <w:t>7 </w:t>
      </w:r>
      <w:r>
        <w:rPr>
          <w:color w:val="231F20"/>
          <w:sz w:val="22"/>
        </w:rPr>
        <w:t>which provides a framework for understanding the ways in which the efforts of parents, for example, may be undermined. The National Board is a member of </w:t>
      </w:r>
      <w:r>
        <w:rPr>
          <w:color w:val="231F20"/>
          <w:spacing w:val="-6"/>
          <w:sz w:val="22"/>
        </w:rPr>
        <w:t>its </w:t>
      </w:r>
      <w:r>
        <w:rPr>
          <w:color w:val="231F20"/>
          <w:spacing w:val="-3"/>
          <w:sz w:val="22"/>
        </w:rPr>
        <w:t>programme’s </w:t>
      </w:r>
      <w:r>
        <w:rPr>
          <w:rFonts w:ascii="Avenir" w:hAnsi="Avenir"/>
          <w:i/>
          <w:color w:val="231F20"/>
          <w:sz w:val="22"/>
        </w:rPr>
        <w:t>UK Influence and Advisory</w:t>
      </w:r>
      <w:r>
        <w:rPr>
          <w:rFonts w:ascii="Avenir" w:hAnsi="Avenir"/>
          <w:i/>
          <w:color w:val="231F20"/>
          <w:spacing w:val="3"/>
          <w:sz w:val="22"/>
        </w:rPr>
        <w:t> </w:t>
      </w:r>
      <w:r>
        <w:rPr>
          <w:rFonts w:ascii="Avenir" w:hAnsi="Avenir"/>
          <w:i/>
          <w:color w:val="231F20"/>
          <w:sz w:val="22"/>
        </w:rPr>
        <w:t>Panel;</w:t>
      </w:r>
    </w:p>
    <w:p>
      <w:pPr>
        <w:pStyle w:val="ListParagraph"/>
        <w:numPr>
          <w:ilvl w:val="1"/>
          <w:numId w:val="28"/>
        </w:numPr>
        <w:tabs>
          <w:tab w:pos="1267" w:val="left" w:leader="none"/>
          <w:tab w:pos="1268" w:val="left" w:leader="none"/>
        </w:tabs>
        <w:spacing w:line="230" w:lineRule="auto" w:before="114" w:after="0"/>
        <w:ind w:left="1267" w:right="277" w:hanging="340"/>
        <w:jc w:val="left"/>
        <w:rPr>
          <w:sz w:val="22"/>
        </w:rPr>
      </w:pPr>
      <w:r>
        <w:rPr>
          <w:color w:val="231F20"/>
          <w:sz w:val="22"/>
        </w:rPr>
        <w:t>indirect feedback from the relevant research. For example, we have been advised of three referrals to safeguarding by the Department of Law and Criminology Department at</w:t>
      </w:r>
      <w:r>
        <w:rPr>
          <w:color w:val="231F20"/>
          <w:spacing w:val="-25"/>
          <w:sz w:val="22"/>
        </w:rPr>
        <w:t> </w:t>
      </w:r>
      <w:r>
        <w:rPr>
          <w:color w:val="231F20"/>
          <w:sz w:val="22"/>
        </w:rPr>
        <w:t>Aberystwyth University</w:t>
      </w:r>
      <w:r>
        <w:rPr>
          <w:color w:val="231F20"/>
          <w:position w:val="7"/>
          <w:sz w:val="13"/>
        </w:rPr>
        <w:t>8 </w:t>
      </w:r>
      <w:r>
        <w:rPr>
          <w:color w:val="231F20"/>
          <w:sz w:val="22"/>
        </w:rPr>
        <w:t>concerning three older people subjected to domestic violence. The referring professionals received no acknowledgement and no contact was made with the three people, even though safeguarding managers had been copied into the referrals. This left the</w:t>
      </w:r>
      <w:r>
        <w:rPr>
          <w:color w:val="231F20"/>
          <w:spacing w:val="-5"/>
          <w:sz w:val="22"/>
        </w:rPr>
        <w:t> </w:t>
      </w:r>
      <w:r>
        <w:rPr>
          <w:color w:val="231F20"/>
          <w:sz w:val="22"/>
        </w:rPr>
        <w:t>task</w:t>
      </w:r>
    </w:p>
    <w:p>
      <w:pPr>
        <w:pStyle w:val="BodyText"/>
        <w:spacing w:line="230" w:lineRule="auto" w:before="1"/>
        <w:ind w:left="1267"/>
      </w:pPr>
      <w:r>
        <w:rPr>
          <w:color w:val="231F20"/>
        </w:rPr>
        <w:t>of identifying third sector organisations and a health provider to a research team. The same researchers recalled an older woman who approached children’s safeguarding to report the circumstances of her grandchildren who were witnesses to domestic violence, she was told that referrals could not be received from third parties.</w:t>
      </w:r>
      <w:r>
        <w:rPr>
          <w:color w:val="231F20"/>
          <w:position w:val="7"/>
          <w:sz w:val="13"/>
        </w:rPr>
        <w:t>9 </w:t>
      </w:r>
      <w:r>
        <w:rPr>
          <w:color w:val="231F20"/>
        </w:rPr>
        <w:t>This is wrong. Anyone may make a referral;</w:t>
      </w:r>
    </w:p>
    <w:p>
      <w:pPr>
        <w:pStyle w:val="ListParagraph"/>
        <w:numPr>
          <w:ilvl w:val="1"/>
          <w:numId w:val="28"/>
        </w:numPr>
        <w:tabs>
          <w:tab w:pos="1328" w:val="left" w:leader="none"/>
          <w:tab w:pos="1329" w:val="left" w:leader="none"/>
        </w:tabs>
        <w:spacing w:line="286" w:lineRule="exact" w:before="105" w:after="0"/>
        <w:ind w:left="1328" w:right="0" w:hanging="402"/>
        <w:jc w:val="left"/>
        <w:rPr>
          <w:sz w:val="22"/>
        </w:rPr>
      </w:pPr>
      <w:r>
        <w:rPr>
          <w:color w:val="231F20"/>
          <w:sz w:val="22"/>
        </w:rPr>
        <w:t>Wales’ new curriculum from 2022, </w:t>
      </w:r>
      <w:r>
        <w:rPr>
          <w:rFonts w:ascii="Avenir" w:hAnsi="Avenir"/>
          <w:i/>
          <w:color w:val="231F20"/>
          <w:sz w:val="22"/>
        </w:rPr>
        <w:t>Relationships and Sexuality Education, </w:t>
      </w:r>
      <w:r>
        <w:rPr>
          <w:color w:val="231F20"/>
          <w:sz w:val="22"/>
        </w:rPr>
        <w:t>having contributed</w:t>
      </w:r>
      <w:r>
        <w:rPr>
          <w:color w:val="231F20"/>
          <w:spacing w:val="-11"/>
          <w:sz w:val="22"/>
        </w:rPr>
        <w:t> </w:t>
      </w:r>
      <w:r>
        <w:rPr>
          <w:color w:val="231F20"/>
          <w:sz w:val="22"/>
        </w:rPr>
        <w:t>to</w:t>
      </w:r>
    </w:p>
    <w:p>
      <w:pPr>
        <w:pStyle w:val="BodyText"/>
        <w:spacing w:line="286" w:lineRule="exact"/>
        <w:ind w:left="1267"/>
      </w:pPr>
      <w:r>
        <w:rPr>
          <w:color w:val="231F20"/>
        </w:rPr>
        <w:t>its rationale;</w:t>
      </w:r>
    </w:p>
    <w:p>
      <w:pPr>
        <w:pStyle w:val="ListParagraph"/>
        <w:numPr>
          <w:ilvl w:val="1"/>
          <w:numId w:val="28"/>
        </w:numPr>
        <w:tabs>
          <w:tab w:pos="1267" w:val="left" w:leader="none"/>
          <w:tab w:pos="1268" w:val="left" w:leader="none"/>
        </w:tabs>
        <w:spacing w:line="230" w:lineRule="auto" w:before="111" w:after="0"/>
        <w:ind w:left="1267" w:right="327" w:hanging="340"/>
        <w:jc w:val="left"/>
        <w:rPr>
          <w:sz w:val="22"/>
        </w:rPr>
      </w:pPr>
      <w:r>
        <w:rPr>
          <w:color w:val="231F20"/>
          <w:sz w:val="22"/>
        </w:rPr>
        <w:t>the activities of </w:t>
      </w:r>
      <w:r>
        <w:rPr>
          <w:color w:val="231F20"/>
          <w:spacing w:val="-3"/>
          <w:sz w:val="22"/>
        </w:rPr>
        <w:t>England’s </w:t>
      </w:r>
      <w:r>
        <w:rPr>
          <w:color w:val="231F20"/>
          <w:sz w:val="22"/>
        </w:rPr>
        <w:t>network of Safeguarding Adult Board Chairs – which, </w:t>
      </w:r>
      <w:r>
        <w:rPr>
          <w:rFonts w:ascii="Avenir" w:hAnsi="Avenir"/>
          <w:i/>
          <w:color w:val="231F20"/>
          <w:sz w:val="22"/>
        </w:rPr>
        <w:t>inter alia, </w:t>
      </w:r>
      <w:r>
        <w:rPr>
          <w:color w:val="231F20"/>
          <w:sz w:val="22"/>
        </w:rPr>
        <w:t>alerted the National Board to the 2017 publication, </w:t>
      </w:r>
      <w:r>
        <w:rPr>
          <w:rFonts w:ascii="Avenir" w:hAnsi="Avenir"/>
          <w:i/>
          <w:color w:val="231F20"/>
          <w:sz w:val="22"/>
        </w:rPr>
        <w:t>Safeguarding Adults: Scamming and </w:t>
      </w:r>
      <w:r>
        <w:rPr>
          <w:rFonts w:ascii="Avenir" w:hAnsi="Avenir"/>
          <w:i/>
          <w:color w:val="231F20"/>
          <w:spacing w:val="-3"/>
          <w:sz w:val="22"/>
        </w:rPr>
        <w:t>Mental </w:t>
      </w:r>
      <w:r>
        <w:rPr>
          <w:rFonts w:ascii="Avenir" w:hAnsi="Avenir"/>
          <w:i/>
          <w:color w:val="231F20"/>
          <w:sz w:val="22"/>
        </w:rPr>
        <w:t>Capacity</w:t>
      </w:r>
      <w:r>
        <w:rPr>
          <w:rFonts w:ascii="Avenir-BookOblique" w:hAnsi="Avenir-BookOblique"/>
          <w:i/>
          <w:color w:val="231F20"/>
          <w:position w:val="7"/>
          <w:sz w:val="13"/>
        </w:rPr>
        <w:t>10 </w:t>
      </w:r>
      <w:r>
        <w:rPr>
          <w:color w:val="231F20"/>
          <w:sz w:val="22"/>
        </w:rPr>
        <w:t>- which was shared with the Regional</w:t>
      </w:r>
      <w:r>
        <w:rPr>
          <w:color w:val="231F20"/>
          <w:spacing w:val="-14"/>
          <w:sz w:val="22"/>
        </w:rPr>
        <w:t> </w:t>
      </w:r>
      <w:r>
        <w:rPr>
          <w:color w:val="231F20"/>
          <w:sz w:val="22"/>
        </w:rPr>
        <w:t>Boards;</w:t>
      </w:r>
    </w:p>
    <w:p>
      <w:pPr>
        <w:pStyle w:val="ListParagraph"/>
        <w:numPr>
          <w:ilvl w:val="1"/>
          <w:numId w:val="28"/>
        </w:numPr>
        <w:tabs>
          <w:tab w:pos="1267" w:val="left" w:leader="none"/>
          <w:tab w:pos="1268" w:val="left" w:leader="none"/>
        </w:tabs>
        <w:spacing w:line="286" w:lineRule="exact" w:before="105" w:after="0"/>
        <w:ind w:left="1267" w:right="0" w:hanging="341"/>
        <w:jc w:val="left"/>
        <w:rPr>
          <w:sz w:val="22"/>
        </w:rPr>
      </w:pPr>
      <w:r>
        <w:rPr>
          <w:color w:val="231F20"/>
          <w:sz w:val="22"/>
        </w:rPr>
        <w:t>commissioning campus based services for young people and adults with learning disabilities</w:t>
      </w:r>
      <w:r>
        <w:rPr>
          <w:color w:val="231F20"/>
          <w:spacing w:val="1"/>
          <w:sz w:val="22"/>
        </w:rPr>
        <w:t> </w:t>
      </w:r>
      <w:r>
        <w:rPr>
          <w:color w:val="231F20"/>
          <w:sz w:val="22"/>
        </w:rPr>
        <w:t>in</w:t>
      </w:r>
    </w:p>
    <w:p>
      <w:pPr>
        <w:pStyle w:val="BodyText"/>
        <w:spacing w:line="286" w:lineRule="exact"/>
        <w:ind w:left="1267"/>
      </w:pPr>
      <w:r>
        <w:rPr>
          <w:color w:val="231F20"/>
        </w:rPr>
        <w:t>the UK;</w:t>
      </w:r>
    </w:p>
    <w:p>
      <w:pPr>
        <w:pStyle w:val="ListParagraph"/>
        <w:numPr>
          <w:ilvl w:val="1"/>
          <w:numId w:val="28"/>
        </w:numPr>
        <w:tabs>
          <w:tab w:pos="1267" w:val="left" w:leader="none"/>
          <w:tab w:pos="1268" w:val="left" w:leader="none"/>
        </w:tabs>
        <w:spacing w:line="230" w:lineRule="auto" w:before="110" w:after="0"/>
        <w:ind w:left="1267" w:right="505" w:hanging="340"/>
        <w:jc w:val="left"/>
        <w:rPr>
          <w:sz w:val="13"/>
        </w:rPr>
      </w:pPr>
      <w:r>
        <w:rPr>
          <w:color w:val="231F20"/>
          <w:sz w:val="22"/>
        </w:rPr>
        <w:t>learning from safeguarding practice in the UK and internationally. The National Board shared information about international safeguarding practice with the Welsh Government which </w:t>
      </w:r>
      <w:r>
        <w:rPr>
          <w:color w:val="231F20"/>
          <w:spacing w:val="-4"/>
          <w:sz w:val="22"/>
        </w:rPr>
        <w:t>arose </w:t>
      </w:r>
      <w:r>
        <w:rPr>
          <w:color w:val="231F20"/>
          <w:sz w:val="22"/>
        </w:rPr>
        <w:t>from work with the Republic of </w:t>
      </w:r>
      <w:r>
        <w:rPr>
          <w:color w:val="231F20"/>
          <w:spacing w:val="-4"/>
          <w:sz w:val="22"/>
        </w:rPr>
        <w:t>Ireland’s </w:t>
      </w:r>
      <w:r>
        <w:rPr>
          <w:color w:val="231F20"/>
          <w:sz w:val="22"/>
        </w:rPr>
        <w:t>Health Information and Quality</w:t>
      </w:r>
      <w:r>
        <w:rPr>
          <w:color w:val="231F20"/>
          <w:spacing w:val="5"/>
          <w:sz w:val="22"/>
        </w:rPr>
        <w:t> </w:t>
      </w:r>
      <w:r>
        <w:rPr>
          <w:color w:val="231F20"/>
          <w:sz w:val="22"/>
        </w:rPr>
        <w:t>Authority;</w:t>
      </w:r>
      <w:r>
        <w:rPr>
          <w:color w:val="231F20"/>
          <w:position w:val="7"/>
          <w:sz w:val="13"/>
        </w:rPr>
        <w:t>11</w:t>
      </w:r>
    </w:p>
    <w:p>
      <w:pPr>
        <w:pStyle w:val="ListParagraph"/>
        <w:numPr>
          <w:ilvl w:val="1"/>
          <w:numId w:val="28"/>
        </w:numPr>
        <w:tabs>
          <w:tab w:pos="1267" w:val="left" w:leader="none"/>
          <w:tab w:pos="1268" w:val="left" w:leader="none"/>
        </w:tabs>
        <w:spacing w:line="230" w:lineRule="auto" w:before="114" w:after="0"/>
        <w:ind w:left="1267" w:right="365" w:hanging="340"/>
        <w:jc w:val="left"/>
        <w:rPr>
          <w:sz w:val="22"/>
        </w:rPr>
      </w:pPr>
      <w:r>
        <w:rPr>
          <w:color w:val="231F20"/>
          <w:sz w:val="22"/>
        </w:rPr>
        <w:t>the ESRC funded Safeguarding Adults and Legal Literacy </w:t>
      </w:r>
      <w:r>
        <w:rPr>
          <w:color w:val="231F20"/>
          <w:spacing w:val="-4"/>
          <w:sz w:val="22"/>
        </w:rPr>
        <w:t>(SALLY) </w:t>
      </w:r>
      <w:r>
        <w:rPr>
          <w:color w:val="231F20"/>
          <w:sz w:val="22"/>
        </w:rPr>
        <w:t>programme</w:t>
      </w:r>
      <w:r>
        <w:rPr>
          <w:color w:val="231F20"/>
          <w:position w:val="7"/>
          <w:sz w:val="13"/>
        </w:rPr>
        <w:t>12 </w:t>
      </w:r>
      <w:r>
        <w:rPr>
          <w:color w:val="231F20"/>
          <w:sz w:val="22"/>
        </w:rPr>
        <w:t>which </w:t>
      </w:r>
      <w:r>
        <w:rPr>
          <w:color w:val="231F20"/>
          <w:spacing w:val="-3"/>
          <w:sz w:val="22"/>
        </w:rPr>
        <w:t>reinforced </w:t>
      </w:r>
      <w:r>
        <w:rPr>
          <w:color w:val="231F20"/>
          <w:sz w:val="22"/>
        </w:rPr>
        <w:t>the importance of setting out </w:t>
      </w:r>
      <w:r>
        <w:rPr>
          <w:rFonts w:ascii="Avenir" w:hAnsi="Avenir"/>
          <w:i/>
          <w:color w:val="231F20"/>
          <w:sz w:val="22"/>
        </w:rPr>
        <w:t>Basic Legal Principles </w:t>
      </w:r>
      <w:r>
        <w:rPr>
          <w:color w:val="231F20"/>
          <w:sz w:val="22"/>
        </w:rPr>
        <w:t>in Wales;</w:t>
      </w:r>
      <w:r>
        <w:rPr>
          <w:color w:val="231F20"/>
          <w:spacing w:val="-4"/>
          <w:sz w:val="22"/>
        </w:rPr>
        <w:t> </w:t>
      </w:r>
      <w:r>
        <w:rPr>
          <w:color w:val="231F20"/>
          <w:sz w:val="22"/>
        </w:rPr>
        <w:t>and</w:t>
      </w:r>
    </w:p>
    <w:p>
      <w:pPr>
        <w:pStyle w:val="ListParagraph"/>
        <w:numPr>
          <w:ilvl w:val="1"/>
          <w:numId w:val="28"/>
        </w:numPr>
        <w:tabs>
          <w:tab w:pos="1267" w:val="left" w:leader="none"/>
          <w:tab w:pos="1268" w:val="left" w:leader="none"/>
        </w:tabs>
        <w:spacing w:line="230" w:lineRule="auto" w:before="114" w:after="0"/>
        <w:ind w:left="1267" w:right="174" w:hanging="340"/>
        <w:jc w:val="left"/>
        <w:rPr>
          <w:sz w:val="22"/>
        </w:rPr>
      </w:pPr>
      <w:r>
        <w:rPr>
          <w:color w:val="231F20"/>
          <w:sz w:val="22"/>
        </w:rPr>
        <w:t>the work programme of the Heads of Inspectorate Group – most particularly in matching audits </w:t>
      </w:r>
      <w:r>
        <w:rPr>
          <w:color w:val="231F20"/>
          <w:spacing w:val="-9"/>
          <w:sz w:val="22"/>
        </w:rPr>
        <w:t>of </w:t>
      </w:r>
      <w:r>
        <w:rPr>
          <w:color w:val="231F20"/>
          <w:sz w:val="22"/>
        </w:rPr>
        <w:t>the work of multi-agency partnerships with multi-agency inspectorates; and delivering value.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shape style="position:absolute;margin-left:62.362202pt;margin-top:20.731951pt;width:72pt;height:.1pt;mso-position-horizontal-relative:page;mso-position-vertical-relative:paragraph;z-index:-15536640;mso-wrap-distance-left:0;mso-wrap-distance-right:0" coordorigin="1247,415" coordsize="1440,0" path="m1247,415l2687,415e" filled="false" stroked="true" strokeweight="1pt" strokecolor="#231f20">
            <v:path arrowok="t"/>
            <v:stroke dashstyle="solid"/>
            <w10:wrap type="topAndBottom"/>
          </v:shape>
        </w:pict>
      </w:r>
    </w:p>
    <w:p>
      <w:pPr>
        <w:pStyle w:val="ListParagraph"/>
        <w:numPr>
          <w:ilvl w:val="0"/>
          <w:numId w:val="28"/>
        </w:numPr>
        <w:tabs>
          <w:tab w:pos="1167" w:val="left" w:leader="none"/>
        </w:tabs>
        <w:spacing w:line="183" w:lineRule="exact" w:before="1" w:after="0"/>
        <w:ind w:left="1166" w:right="0" w:hanging="240"/>
        <w:jc w:val="left"/>
        <w:rPr>
          <w:sz w:val="14"/>
        </w:rPr>
      </w:pPr>
      <w:hyperlink r:id="rId53">
        <w:r>
          <w:rPr>
            <w:rFonts w:ascii="Avenir"/>
            <w:color w:val="231F20"/>
            <w:sz w:val="14"/>
          </w:rPr>
          <w:t>https://www.beds.ac.uk/ic/current-projects/contextual-safeguarding-programme </w:t>
        </w:r>
      </w:hyperlink>
      <w:r>
        <w:rPr>
          <w:color w:val="231F20"/>
          <w:sz w:val="14"/>
        </w:rPr>
        <w:t>(accessed on 1 September</w:t>
      </w:r>
      <w:r>
        <w:rPr>
          <w:color w:val="231F20"/>
          <w:spacing w:val="-3"/>
          <w:sz w:val="14"/>
        </w:rPr>
        <w:t> </w:t>
      </w:r>
      <w:r>
        <w:rPr>
          <w:color w:val="231F20"/>
          <w:sz w:val="14"/>
        </w:rPr>
        <w:t>2018)</w:t>
      </w:r>
    </w:p>
    <w:p>
      <w:pPr>
        <w:pStyle w:val="ListParagraph"/>
        <w:numPr>
          <w:ilvl w:val="0"/>
          <w:numId w:val="28"/>
        </w:numPr>
        <w:tabs>
          <w:tab w:pos="1167" w:val="left" w:leader="none"/>
        </w:tabs>
        <w:spacing w:line="180" w:lineRule="exact" w:before="0" w:after="0"/>
        <w:ind w:left="1166" w:right="0" w:hanging="240"/>
        <w:jc w:val="left"/>
        <w:rPr>
          <w:sz w:val="14"/>
        </w:rPr>
      </w:pPr>
      <w:r>
        <w:rPr>
          <w:color w:val="231F20"/>
          <w:sz w:val="14"/>
        </w:rPr>
        <w:t>The Dewis Choice: Building Justice Options with Older People</w:t>
      </w:r>
    </w:p>
    <w:p>
      <w:pPr>
        <w:pStyle w:val="ListParagraph"/>
        <w:numPr>
          <w:ilvl w:val="0"/>
          <w:numId w:val="28"/>
        </w:numPr>
        <w:tabs>
          <w:tab w:pos="1167" w:val="left" w:leader="none"/>
        </w:tabs>
        <w:spacing w:line="180" w:lineRule="exact" w:before="0" w:after="0"/>
        <w:ind w:left="1166" w:right="0" w:hanging="240"/>
        <w:jc w:val="left"/>
        <w:rPr>
          <w:sz w:val="14"/>
        </w:rPr>
      </w:pPr>
      <w:r>
        <w:rPr>
          <w:color w:val="231F20"/>
          <w:sz w:val="14"/>
        </w:rPr>
        <w:t>Older Survivors of Domestic Abuse: A forgotten Population 3-6 September 2018, Aberystwyth University, Department of</w:t>
      </w:r>
      <w:r>
        <w:rPr>
          <w:color w:val="231F20"/>
          <w:spacing w:val="-4"/>
          <w:sz w:val="14"/>
        </w:rPr>
        <w:t> </w:t>
      </w:r>
      <w:r>
        <w:rPr>
          <w:color w:val="231F20"/>
          <w:sz w:val="14"/>
        </w:rPr>
        <w:t>Law</w:t>
      </w:r>
    </w:p>
    <w:p>
      <w:pPr>
        <w:pStyle w:val="ListParagraph"/>
        <w:numPr>
          <w:ilvl w:val="0"/>
          <w:numId w:val="28"/>
        </w:numPr>
        <w:tabs>
          <w:tab w:pos="1167" w:val="left" w:leader="none"/>
        </w:tabs>
        <w:spacing w:line="180" w:lineRule="exact" w:before="0" w:after="0"/>
        <w:ind w:left="1166" w:right="0" w:hanging="240"/>
        <w:jc w:val="left"/>
        <w:rPr>
          <w:sz w:val="14"/>
        </w:rPr>
      </w:pPr>
      <w:r>
        <w:rPr>
          <w:color w:val="231F20"/>
          <w:sz w:val="14"/>
        </w:rPr>
        <w:t>By Fenge, L-A., Lee, S. and Brown, K., as part of the Post-Qualifying Social Work Practice series, London: Learning Matters, Sage Publications</w:t>
      </w:r>
      <w:r>
        <w:rPr>
          <w:color w:val="231F20"/>
          <w:spacing w:val="-3"/>
          <w:sz w:val="14"/>
        </w:rPr>
        <w:t> </w:t>
      </w:r>
      <w:r>
        <w:rPr>
          <w:color w:val="231F20"/>
          <w:sz w:val="14"/>
        </w:rPr>
        <w:t>Ltd</w:t>
      </w:r>
    </w:p>
    <w:p>
      <w:pPr>
        <w:pStyle w:val="ListParagraph"/>
        <w:numPr>
          <w:ilvl w:val="0"/>
          <w:numId w:val="28"/>
        </w:numPr>
        <w:tabs>
          <w:tab w:pos="1167" w:val="left" w:leader="none"/>
        </w:tabs>
        <w:spacing w:line="232" w:lineRule="auto" w:before="1" w:after="0"/>
        <w:ind w:left="1127" w:right="262" w:hanging="200"/>
        <w:jc w:val="left"/>
        <w:rPr>
          <w:sz w:val="14"/>
        </w:rPr>
      </w:pPr>
      <w:r>
        <w:rPr>
          <w:color w:val="231F20"/>
          <w:sz w:val="14"/>
        </w:rPr>
        <w:t>Health Information and Quality Authority and Mental Health Commission (2018) </w:t>
      </w:r>
      <w:r>
        <w:rPr>
          <w:rFonts w:ascii="Avenir-BookOblique"/>
          <w:i/>
          <w:color w:val="231F20"/>
          <w:sz w:val="14"/>
        </w:rPr>
        <w:t>Adult Safeguarding: Background document to support the development of</w:t>
      </w:r>
      <w:r>
        <w:rPr>
          <w:rFonts w:ascii="Avenir-BookOblique"/>
          <w:i/>
          <w:color w:val="231F20"/>
          <w:spacing w:val="-6"/>
          <w:sz w:val="14"/>
        </w:rPr>
        <w:t> </w:t>
      </w:r>
      <w:r>
        <w:rPr>
          <w:rFonts w:ascii="Avenir-BookOblique"/>
          <w:i/>
          <w:color w:val="231F20"/>
          <w:sz w:val="14"/>
        </w:rPr>
        <w:t>national</w:t>
      </w:r>
      <w:r>
        <w:rPr>
          <w:rFonts w:ascii="Avenir-BookOblique"/>
          <w:i/>
          <w:color w:val="231F20"/>
          <w:spacing w:val="-6"/>
          <w:sz w:val="14"/>
        </w:rPr>
        <w:t> </w:t>
      </w:r>
      <w:r>
        <w:rPr>
          <w:rFonts w:ascii="Avenir-BookOblique"/>
          <w:i/>
          <w:color w:val="231F20"/>
          <w:sz w:val="14"/>
        </w:rPr>
        <w:t>standards</w:t>
      </w:r>
      <w:r>
        <w:rPr>
          <w:rFonts w:ascii="Avenir-BookOblique"/>
          <w:i/>
          <w:color w:val="231F20"/>
          <w:spacing w:val="-6"/>
          <w:sz w:val="14"/>
        </w:rPr>
        <w:t> </w:t>
      </w:r>
      <w:r>
        <w:rPr>
          <w:rFonts w:ascii="Avenir-BookOblique"/>
          <w:i/>
          <w:color w:val="231F20"/>
          <w:sz w:val="14"/>
        </w:rPr>
        <w:t>for</w:t>
      </w:r>
      <w:r>
        <w:rPr>
          <w:rFonts w:ascii="Avenir-BookOblique"/>
          <w:i/>
          <w:color w:val="231F20"/>
          <w:spacing w:val="-5"/>
          <w:sz w:val="14"/>
        </w:rPr>
        <w:t> </w:t>
      </w:r>
      <w:r>
        <w:rPr>
          <w:rFonts w:ascii="Avenir-BookOblique"/>
          <w:i/>
          <w:color w:val="231F20"/>
          <w:sz w:val="14"/>
        </w:rPr>
        <w:t>adult</w:t>
      </w:r>
      <w:r>
        <w:rPr>
          <w:rFonts w:ascii="Avenir-BookOblique"/>
          <w:i/>
          <w:color w:val="231F20"/>
          <w:spacing w:val="-6"/>
          <w:sz w:val="14"/>
        </w:rPr>
        <w:t> </w:t>
      </w:r>
      <w:r>
        <w:rPr>
          <w:rFonts w:ascii="Avenir-BookOblique"/>
          <w:i/>
          <w:color w:val="231F20"/>
          <w:sz w:val="14"/>
        </w:rPr>
        <w:t>safeguarding</w:t>
      </w:r>
      <w:r>
        <w:rPr>
          <w:rFonts w:ascii="Avenir-BookOblique"/>
          <w:i/>
          <w:color w:val="231F20"/>
          <w:spacing w:val="-6"/>
          <w:sz w:val="14"/>
        </w:rPr>
        <w:t> </w:t>
      </w:r>
      <w:hyperlink r:id="rId54">
        <w:r>
          <w:rPr>
            <w:rFonts w:ascii="Avenir"/>
            <w:color w:val="231F20"/>
            <w:sz w:val="14"/>
          </w:rPr>
          <w:t>https://www.hiqa.ie/reports-and-publications/standard/background-document-support-development-nation-</w:t>
        </w:r>
      </w:hyperlink>
      <w:hyperlink r:id="rId54">
        <w:r>
          <w:rPr>
            <w:rFonts w:ascii="Avenir"/>
            <w:color w:val="231F20"/>
            <w:sz w:val="14"/>
          </w:rPr>
          <w:t> al-standards-adult</w:t>
        </w:r>
      </w:hyperlink>
      <w:r>
        <w:rPr>
          <w:rFonts w:ascii="Avenir"/>
          <w:color w:val="231F20"/>
          <w:sz w:val="14"/>
        </w:rPr>
        <w:t> </w:t>
      </w:r>
      <w:r>
        <w:rPr>
          <w:color w:val="231F20"/>
          <w:sz w:val="14"/>
        </w:rPr>
        <w:t>(accessed on 1 September</w:t>
      </w:r>
      <w:r>
        <w:rPr>
          <w:color w:val="231F20"/>
          <w:spacing w:val="-1"/>
          <w:sz w:val="14"/>
        </w:rPr>
        <w:t> </w:t>
      </w:r>
      <w:r>
        <w:rPr>
          <w:color w:val="231F20"/>
          <w:sz w:val="14"/>
        </w:rPr>
        <w:t>2018)</w:t>
      </w:r>
    </w:p>
    <w:p>
      <w:pPr>
        <w:pStyle w:val="ListParagraph"/>
        <w:numPr>
          <w:ilvl w:val="0"/>
          <w:numId w:val="28"/>
        </w:numPr>
        <w:tabs>
          <w:tab w:pos="1167" w:val="left" w:leader="none"/>
        </w:tabs>
        <w:spacing w:line="181" w:lineRule="exact" w:before="0" w:after="0"/>
        <w:ind w:left="1166" w:right="0" w:hanging="240"/>
        <w:jc w:val="left"/>
        <w:rPr>
          <w:sz w:val="14"/>
        </w:rPr>
      </w:pPr>
      <w:hyperlink r:id="rId55">
        <w:r>
          <w:rPr>
            <w:rFonts w:ascii="Avenir"/>
            <w:color w:val="231F20"/>
            <w:sz w:val="14"/>
          </w:rPr>
          <w:t>https://www.keele.ac.uk/law/newsevents/events/archive/2018/ab-sallyseminar-series3.php </w:t>
        </w:r>
      </w:hyperlink>
      <w:r>
        <w:rPr>
          <w:color w:val="231F20"/>
          <w:sz w:val="14"/>
        </w:rPr>
        <w:t>(accessed on 1 September</w:t>
      </w:r>
      <w:r>
        <w:rPr>
          <w:color w:val="231F20"/>
          <w:spacing w:val="-3"/>
          <w:sz w:val="14"/>
        </w:rPr>
        <w:t> </w:t>
      </w:r>
      <w:r>
        <w:rPr>
          <w:color w:val="231F20"/>
          <w:sz w:val="14"/>
        </w:rPr>
        <w:t>2018)</w:t>
      </w:r>
    </w:p>
    <w:p>
      <w:pPr>
        <w:spacing w:after="0" w:line="181" w:lineRule="exact"/>
        <w:jc w:val="left"/>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22688" filled="true" fillcolor="#d5583b" stroked="false">
            <v:fill type="solid"/>
            <w10:wrap type="none"/>
          </v:rect>
        </w:pict>
      </w:r>
      <w:r>
        <w:rPr/>
        <w:pict>
          <v:shape style="position:absolute;margin-left:573.765198pt;margin-top:172.998016pt;width:15.7pt;height:495.9pt;mso-position-horizontal-relative:page;mso-position-vertical-relative:page;z-index:15923200" type="#_x0000_t202" filled="false" stroked="false">
            <v:textbox inset="0,0,0,0" style="layout-flow:vertical">
              <w:txbxContent>
                <w:p>
                  <w:pPr>
                    <w:spacing w:before="20"/>
                    <w:ind w:left="20" w:right="0" w:firstLine="0"/>
                    <w:jc w:val="left"/>
                    <w:rPr>
                      <w:sz w:val="20"/>
                    </w:rPr>
                  </w:pPr>
                  <w:r>
                    <w:rPr>
                      <w:color w:val="FFFFFF"/>
                      <w:sz w:val="20"/>
                    </w:rPr>
                    <w:t>The National </w:t>
                  </w:r>
                  <w:r>
                    <w:rPr>
                      <w:color w:val="FFFFFF"/>
                      <w:spacing w:val="-4"/>
                      <w:sz w:val="20"/>
                    </w:rPr>
                    <w:t>Board’s </w:t>
                  </w:r>
                  <w:r>
                    <w:rPr>
                      <w:color w:val="FFFFFF"/>
                      <w:sz w:val="20"/>
                    </w:rPr>
                    <w:t>support and advice to Safeguarding Boards with a view to ensuring that they are effective</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53</w:t>
      </w:r>
    </w:p>
    <w:p>
      <w:pPr>
        <w:pStyle w:val="BodyText"/>
        <w:rPr>
          <w:sz w:val="30"/>
        </w:rPr>
      </w:pPr>
    </w:p>
    <w:p>
      <w:pPr>
        <w:pStyle w:val="BodyText"/>
        <w:rPr>
          <w:sz w:val="30"/>
        </w:rPr>
      </w:pPr>
    </w:p>
    <w:p>
      <w:pPr>
        <w:pStyle w:val="BodyText"/>
        <w:spacing w:before="9"/>
        <w:rPr>
          <w:sz w:val="32"/>
        </w:rPr>
      </w:pPr>
    </w:p>
    <w:p>
      <w:pPr>
        <w:pStyle w:val="BodyText"/>
        <w:spacing w:line="216" w:lineRule="auto"/>
        <w:ind w:left="360" w:right="947"/>
      </w:pPr>
      <w:r>
        <w:rPr>
          <w:color w:val="231F20"/>
        </w:rPr>
        <w:t>During May 2018, the National Board advised the Welsh Government that the Social </w:t>
      </w:r>
      <w:r>
        <w:rPr>
          <w:color w:val="231F20"/>
          <w:sz w:val="23"/>
        </w:rPr>
        <w:t>Services and </w:t>
      </w:r>
      <w:r>
        <w:rPr>
          <w:color w:val="231F20"/>
        </w:rPr>
        <w:t>Well-being (Wales) Act, the regulations and </w:t>
      </w:r>
      <w:r>
        <w:rPr>
          <w:color w:val="231F20"/>
          <w:spacing w:val="-5"/>
        </w:rPr>
        <w:t>Vol </w:t>
      </w:r>
      <w:r>
        <w:rPr>
          <w:color w:val="231F20"/>
        </w:rPr>
        <w:t>1 of the guidance accurately and comprehensively address the Boards’ functions. The work of </w:t>
      </w:r>
      <w:r>
        <w:rPr>
          <w:color w:val="231F20"/>
          <w:spacing w:val="-3"/>
        </w:rPr>
        <w:t>England’s </w:t>
      </w:r>
      <w:r>
        <w:rPr>
          <w:color w:val="231F20"/>
        </w:rPr>
        <w:t>Local Government Association’s pilot programme of peer reviews of adult safeguarding arrangements in advance of the Care Act 2014 acknowledged </w:t>
      </w:r>
      <w:r>
        <w:rPr>
          <w:rFonts w:ascii="Avenir" w:hAnsi="Avenir"/>
          <w:b/>
          <w:color w:val="231F20"/>
        </w:rPr>
        <w:t>the limitations of self-assessment. </w:t>
      </w:r>
      <w:r>
        <w:rPr>
          <w:color w:val="231F20"/>
        </w:rPr>
        <w:t>The peer reviews sought to assist Boards to identify strengths as well as improvements. They provided opportunities for Boards/ partnerships to open their practice to challenge and supportive discussion – a methodology which is also familiar to the police. </w:t>
      </w:r>
      <w:r>
        <w:rPr>
          <w:color w:val="231F20"/>
          <w:spacing w:val="-3"/>
        </w:rPr>
        <w:t>Similarly, </w:t>
      </w:r>
      <w:r>
        <w:rPr>
          <w:color w:val="231F20"/>
        </w:rPr>
        <w:t>action research methodologies have a lot of promise in the </w:t>
      </w:r>
      <w:r>
        <w:rPr>
          <w:color w:val="231F20"/>
          <w:spacing w:val="-3"/>
        </w:rPr>
        <w:t>effective </w:t>
      </w:r>
      <w:r>
        <w:rPr>
          <w:color w:val="231F20"/>
        </w:rPr>
        <w:t>development of systems to look towards new forms of organising and improving ways of</w:t>
      </w:r>
      <w:r>
        <w:rPr>
          <w:color w:val="231F20"/>
          <w:spacing w:val="-9"/>
        </w:rPr>
        <w:t> </w:t>
      </w:r>
      <w:r>
        <w:rPr>
          <w:color w:val="231F20"/>
        </w:rPr>
        <w:t>working.</w:t>
      </w:r>
    </w:p>
    <w:p>
      <w:pPr>
        <w:pStyle w:val="BodyText"/>
        <w:spacing w:before="5"/>
        <w:rPr>
          <w:sz w:val="20"/>
        </w:rPr>
      </w:pPr>
    </w:p>
    <w:p>
      <w:pPr>
        <w:pStyle w:val="BodyText"/>
        <w:spacing w:line="230" w:lineRule="auto" w:before="1"/>
        <w:ind w:left="360" w:right="806"/>
      </w:pPr>
      <w:r>
        <w:rPr>
          <w:color w:val="231F20"/>
        </w:rPr>
        <w:t>We note that some Regional Boards’ are adding to their structures in order to deliver their priorities. For example, “A multi-agency strategic group was set up…A Multi Agency Child Sexual Exploitation (MACSE) group was set up…CSE Executive Group [brings] together key partners…A task and finish group was set up to take this work forward…the Children’s Audit Subgroup was re-established…</w:t>
      </w:r>
    </w:p>
    <w:p>
      <w:pPr>
        <w:pStyle w:val="BodyText"/>
        <w:spacing w:line="230" w:lineRule="auto"/>
        <w:ind w:left="360"/>
      </w:pPr>
      <w:r>
        <w:rPr>
          <w:color w:val="231F20"/>
        </w:rPr>
        <w:t>set up a Thematic Sub Group to replace the Child Sexual Exploitation Sub Group…relaunched the Communication and Engagement Sub Group…” If such additions are essential to the imperative of remaining true to the Regional Boards’ functions, then the rationale should be agreed and related to outcomes so that the success of the new structure may be judged.</w:t>
      </w:r>
    </w:p>
    <w:p>
      <w:pPr>
        <w:pStyle w:val="BodyText"/>
        <w:spacing w:before="8"/>
        <w:rPr>
          <w:sz w:val="21"/>
        </w:rPr>
      </w:pPr>
    </w:p>
    <w:p>
      <w:pPr>
        <w:spacing w:line="228" w:lineRule="auto" w:before="0"/>
        <w:ind w:left="360" w:right="615" w:firstLine="0"/>
        <w:jc w:val="left"/>
        <w:rPr>
          <w:sz w:val="22"/>
        </w:rPr>
      </w:pPr>
      <w:r>
        <w:rPr>
          <w:color w:val="231F20"/>
          <w:sz w:val="22"/>
        </w:rPr>
        <w:t>The National Board has alerted the Welsh Government to the unfeasible number of </w:t>
      </w:r>
      <w:r>
        <w:rPr>
          <w:rFonts w:ascii="Avenir" w:hAnsi="Avenir"/>
          <w:b/>
          <w:color w:val="231F20"/>
          <w:sz w:val="22"/>
        </w:rPr>
        <w:t>principles associated with the Social Services and Well-being (Wales) Act 2014 </w:t>
      </w:r>
      <w:r>
        <w:rPr>
          <w:color w:val="231F20"/>
          <w:sz w:val="22"/>
        </w:rPr>
        <w:t>. For example, across Social Care Wales’ hub,</w:t>
      </w:r>
      <w:r>
        <w:rPr>
          <w:color w:val="231F20"/>
          <w:position w:val="7"/>
          <w:sz w:val="13"/>
        </w:rPr>
        <w:t>13 </w:t>
      </w:r>
      <w:r>
        <w:rPr>
          <w:color w:val="231F20"/>
          <w:sz w:val="22"/>
        </w:rPr>
        <w:t>the Welsh Government’s “Essentials” summary of the Act,</w:t>
      </w:r>
      <w:r>
        <w:rPr>
          <w:color w:val="231F20"/>
          <w:position w:val="7"/>
          <w:sz w:val="13"/>
        </w:rPr>
        <w:t>14 </w:t>
      </w:r>
      <w:r>
        <w:rPr>
          <w:color w:val="231F20"/>
          <w:sz w:val="22"/>
        </w:rPr>
        <w:t>the Working Together to Safeguard People Volume 1 – </w:t>
      </w:r>
      <w:r>
        <w:rPr>
          <w:rFonts w:ascii="Avenir" w:hAnsi="Avenir"/>
          <w:i/>
          <w:color w:val="231F20"/>
          <w:sz w:val="22"/>
        </w:rPr>
        <w:t>Introduction and Overview,</w:t>
      </w:r>
      <w:r>
        <w:rPr>
          <w:rFonts w:ascii="Avenir-BookOblique" w:hAnsi="Avenir-BookOblique"/>
          <w:i/>
          <w:color w:val="231F20"/>
          <w:position w:val="7"/>
          <w:sz w:val="13"/>
        </w:rPr>
        <w:t>15 </w:t>
      </w:r>
      <w:r>
        <w:rPr>
          <w:color w:val="231F20"/>
          <w:sz w:val="22"/>
        </w:rPr>
        <w:t>Working Together to Safeguard People Volume 2 </w:t>
      </w:r>
      <w:r>
        <w:rPr>
          <w:rFonts w:ascii="Avenir" w:hAnsi="Avenir"/>
          <w:i/>
          <w:color w:val="231F20"/>
          <w:sz w:val="22"/>
        </w:rPr>
        <w:t>– Child Practice Reviews, Working Together to Safeguard People Volume 3 – Adult Practice Reviews, </w:t>
      </w:r>
      <w:r>
        <w:rPr>
          <w:color w:val="231F20"/>
          <w:sz w:val="22"/>
        </w:rPr>
        <w:t>Working Together to Safeguard People </w:t>
      </w:r>
      <w:r>
        <w:rPr>
          <w:rFonts w:ascii="Avenir" w:hAnsi="Avenir"/>
          <w:i/>
          <w:color w:val="231F20"/>
          <w:sz w:val="22"/>
        </w:rPr>
        <w:t>Volume 5 – Handling Individual Cases to Protect Children at Risk, </w:t>
      </w:r>
      <w:r>
        <w:rPr>
          <w:color w:val="231F20"/>
          <w:sz w:val="22"/>
        </w:rPr>
        <w:t>Working Together to Safeguard People </w:t>
      </w:r>
      <w:r>
        <w:rPr>
          <w:rFonts w:ascii="Avenir" w:hAnsi="Avenir"/>
          <w:i/>
          <w:color w:val="231F20"/>
          <w:sz w:val="22"/>
        </w:rPr>
        <w:t>Volume 6 – Handling Individual Cases to Protect Adults at Risk </w:t>
      </w:r>
      <w:r>
        <w:rPr>
          <w:color w:val="231F20"/>
          <w:sz w:val="22"/>
        </w:rPr>
        <w:t>and the documentation arising from the review of the All Wales Safeguarding Procedures cite different principles. We have advised the Welsh Government that it may wish to take stock since principles should be manageable, in terms of quantity, and consistent if we are to have confidence in the judgement of professionals.</w:t>
      </w:r>
    </w:p>
    <w:p>
      <w:pPr>
        <w:pStyle w:val="BodyText"/>
        <w:spacing w:before="4"/>
      </w:pPr>
    </w:p>
    <w:p>
      <w:pPr>
        <w:pStyle w:val="BodyText"/>
        <w:spacing w:line="216" w:lineRule="auto"/>
        <w:ind w:left="360" w:right="979"/>
      </w:pPr>
      <w:r>
        <w:rPr>
          <w:color w:val="231F20"/>
        </w:rPr>
        <w:t>We have also advised the Welsh Government that Volumes 5 and 6 of the statutory guidance introduced </w:t>
      </w:r>
      <w:r>
        <w:rPr>
          <w:rFonts w:ascii="Avenir" w:hAnsi="Avenir"/>
          <w:b/>
          <w:color w:val="231F20"/>
        </w:rPr>
        <w:t>margins of uncertainty by overusing the verb and noun “concern” </w:t>
      </w:r>
      <w:r>
        <w:rPr>
          <w:color w:val="231F20"/>
        </w:rPr>
        <w:t>rather than stating that there is “reasonable cause to suspect that a child/ adult is at risk.” The Social Services and Well-being Act does not refer to “concerns” or propose that “concerns” are synonymous with</w:t>
      </w:r>
    </w:p>
    <w:p>
      <w:pPr>
        <w:pStyle w:val="BodyText"/>
        <w:spacing w:line="216" w:lineRule="auto"/>
        <w:ind w:left="360" w:right="729"/>
      </w:pPr>
      <w:r>
        <w:rPr>
          <w:color w:val="231F20"/>
        </w:rPr>
        <w:t>“allegations.” Also, because the Act does not refer to local authority or relevant partners undertaking safeguarding “investigations” or propose that these are synonymous with “</w:t>
      </w:r>
      <w:r>
        <w:rPr>
          <w:rFonts w:ascii="Avenir" w:hAnsi="Avenir"/>
          <w:b/>
          <w:color w:val="231F20"/>
        </w:rPr>
        <w:t>enquiries</w:t>
      </w:r>
      <w:r>
        <w:rPr>
          <w:color w:val="231F20"/>
        </w:rPr>
        <w:t>” we left it to the Welsh Government to determine whether or not it considered it wise for Volumes 5 and 6 to remain in existence.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r>
        <w:rPr/>
        <w:pict>
          <v:shape style="position:absolute;margin-left:34.015701pt;margin-top:21.0741pt;width:72pt;height:.1pt;mso-position-horizontal-relative:page;mso-position-vertical-relative:paragraph;z-index:-15535104;mso-wrap-distance-left:0;mso-wrap-distance-right:0" coordorigin="680,421" coordsize="1440,0" path="m680,421l2120,421e" filled="false" stroked="true" strokeweight="1.0pt" strokecolor="#231f20">
            <v:path arrowok="t"/>
            <v:stroke dashstyle="solid"/>
            <w10:wrap type="topAndBottom"/>
          </v:shape>
        </w:pict>
      </w:r>
    </w:p>
    <w:p>
      <w:pPr>
        <w:pStyle w:val="ListParagraph"/>
        <w:numPr>
          <w:ilvl w:val="0"/>
          <w:numId w:val="28"/>
        </w:numPr>
        <w:tabs>
          <w:tab w:pos="600" w:val="left" w:leader="none"/>
        </w:tabs>
        <w:spacing w:line="183" w:lineRule="exact" w:before="1" w:after="0"/>
        <w:ind w:left="599" w:right="0" w:hanging="240"/>
        <w:jc w:val="left"/>
        <w:rPr>
          <w:sz w:val="14"/>
        </w:rPr>
      </w:pPr>
      <w:hyperlink r:id="rId56">
        <w:r>
          <w:rPr>
            <w:rFonts w:ascii="Avenir"/>
            <w:color w:val="231F20"/>
            <w:sz w:val="14"/>
          </w:rPr>
          <w:t>https://socialcare.wales/hub/sswbact </w:t>
        </w:r>
      </w:hyperlink>
      <w:r>
        <w:rPr>
          <w:color w:val="231F20"/>
          <w:sz w:val="14"/>
        </w:rPr>
        <w:t>(accessed 20 July</w:t>
      </w:r>
      <w:r>
        <w:rPr>
          <w:color w:val="231F20"/>
          <w:spacing w:val="-2"/>
          <w:sz w:val="14"/>
        </w:rPr>
        <w:t> </w:t>
      </w:r>
      <w:r>
        <w:rPr>
          <w:color w:val="231F20"/>
          <w:sz w:val="14"/>
        </w:rPr>
        <w:t>2018)</w:t>
      </w:r>
    </w:p>
    <w:p>
      <w:pPr>
        <w:pStyle w:val="ListParagraph"/>
        <w:numPr>
          <w:ilvl w:val="0"/>
          <w:numId w:val="28"/>
        </w:numPr>
        <w:tabs>
          <w:tab w:pos="600" w:val="left" w:leader="none"/>
        </w:tabs>
        <w:spacing w:line="180" w:lineRule="exact" w:before="0" w:after="0"/>
        <w:ind w:left="599" w:right="0" w:hanging="240"/>
        <w:jc w:val="left"/>
        <w:rPr>
          <w:rFonts w:ascii="Avenir"/>
          <w:sz w:val="14"/>
        </w:rPr>
      </w:pPr>
      <w:hyperlink r:id="rId57">
        <w:r>
          <w:rPr>
            <w:rFonts w:ascii="Avenir"/>
            <w:color w:val="231F20"/>
            <w:sz w:val="14"/>
          </w:rPr>
          <w:t>http://gov.wales/docs/dhss/publications/160127socialservicesacten.pdf </w:t>
        </w:r>
      </w:hyperlink>
      <w:r>
        <w:rPr>
          <w:rFonts w:ascii="Avenir"/>
          <w:color w:val="231F20"/>
          <w:sz w:val="14"/>
        </w:rPr>
        <w:t>(accessed 20 July</w:t>
      </w:r>
      <w:r>
        <w:rPr>
          <w:rFonts w:ascii="Avenir"/>
          <w:color w:val="231F20"/>
          <w:spacing w:val="-2"/>
          <w:sz w:val="14"/>
        </w:rPr>
        <w:t> </w:t>
      </w:r>
      <w:r>
        <w:rPr>
          <w:rFonts w:ascii="Avenir"/>
          <w:color w:val="231F20"/>
          <w:sz w:val="14"/>
        </w:rPr>
        <w:t>2018)</w:t>
      </w:r>
    </w:p>
    <w:p>
      <w:pPr>
        <w:pStyle w:val="ListParagraph"/>
        <w:numPr>
          <w:ilvl w:val="0"/>
          <w:numId w:val="28"/>
        </w:numPr>
        <w:tabs>
          <w:tab w:pos="600" w:val="left" w:leader="none"/>
        </w:tabs>
        <w:spacing w:line="183" w:lineRule="exact" w:before="0" w:after="0"/>
        <w:ind w:left="599" w:right="0" w:hanging="240"/>
        <w:jc w:val="left"/>
        <w:rPr>
          <w:sz w:val="14"/>
        </w:rPr>
      </w:pPr>
      <w:hyperlink r:id="rId58">
        <w:r>
          <w:rPr>
            <w:rFonts w:ascii="Avenir"/>
            <w:color w:val="231F20"/>
            <w:sz w:val="14"/>
          </w:rPr>
          <w:t>https://socialcare.wales/hub/sswbact-codes </w:t>
        </w:r>
      </w:hyperlink>
      <w:r>
        <w:rPr>
          <w:color w:val="231F20"/>
          <w:sz w:val="14"/>
        </w:rPr>
        <w:t>(accessed 21 July</w:t>
      </w:r>
      <w:r>
        <w:rPr>
          <w:color w:val="231F20"/>
          <w:spacing w:val="-2"/>
          <w:sz w:val="14"/>
        </w:rPr>
        <w:t> </w:t>
      </w:r>
      <w:r>
        <w:rPr>
          <w:color w:val="231F20"/>
          <w:sz w:val="14"/>
        </w:rPr>
        <w:t>2018)</w:t>
      </w:r>
    </w:p>
    <w:p>
      <w:pPr>
        <w:spacing w:after="0" w:line="183" w:lineRule="exact"/>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52736" filled="true" fillcolor="#d5583b" stroked="false">
            <v:fill type="solid"/>
            <w10:wrap type="none"/>
          </v:rect>
        </w:pict>
      </w:r>
    </w:p>
    <w:p>
      <w:pPr>
        <w:pStyle w:val="BodyText"/>
        <w:spacing w:before="6"/>
      </w:pPr>
    </w:p>
    <w:p>
      <w:pPr>
        <w:tabs>
          <w:tab w:pos="7398" w:val="left" w:leader="none"/>
        </w:tabs>
        <w:spacing w:before="100"/>
        <w:ind w:left="927" w:right="0" w:firstLine="0"/>
        <w:jc w:val="left"/>
        <w:rPr>
          <w:sz w:val="16"/>
        </w:rPr>
      </w:pPr>
      <w:r>
        <w:rPr>
          <w:color w:val="231F20"/>
          <w:sz w:val="16"/>
        </w:rPr>
        <w:t>54</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5"/>
        <w:rPr>
          <w:sz w:val="23"/>
        </w:rPr>
      </w:pPr>
    </w:p>
    <w:p>
      <w:pPr>
        <w:pStyle w:val="BodyText"/>
        <w:spacing w:line="228" w:lineRule="auto" w:before="111"/>
        <w:ind w:left="927" w:right="133"/>
      </w:pPr>
      <w:r>
        <w:rPr>
          <w:color w:val="231F20"/>
        </w:rPr>
        <w:t>The Regional Boards’ annual reports are required to include “any underlying themes in the way the safeguarding board exercised its functions, as shown by </w:t>
      </w:r>
      <w:r>
        <w:rPr>
          <w:rFonts w:ascii="Avenir" w:hAnsi="Avenir"/>
          <w:b/>
          <w:color w:val="231F20"/>
        </w:rPr>
        <w:t>an analysis of cases </w:t>
      </w:r>
      <w:r>
        <w:rPr>
          <w:color w:val="231F20"/>
        </w:rPr>
        <w:t>it has dealt with, and any changes it has put into practice as a result” (Regulations 6(1) (i)). Child and Adult Practice Reviews were placed on the Regional Board websites for such limited periods that we proposed hosting</w:t>
      </w:r>
    </w:p>
    <w:p>
      <w:pPr>
        <w:pStyle w:val="BodyText"/>
        <w:spacing w:line="230" w:lineRule="auto" w:before="2"/>
        <w:ind w:left="927" w:right="146"/>
      </w:pPr>
      <w:r>
        <w:rPr/>
        <w:pict>
          <v:shape style="position:absolute;margin-left:7.0315pt;margin-top:11.775068pt;width:15.7pt;height:495.9pt;mso-position-horizontal-relative:page;mso-position-vertical-relative:paragraph;z-index:-17652224" type="#_x0000_t202" filled="false" stroked="false">
            <v:textbox inset="0,0,0,0" style="layout-flow:vertical;mso-layout-flow-alt:bottom-to-top">
              <w:txbxContent>
                <w:p>
                  <w:pPr>
                    <w:spacing w:before="20"/>
                    <w:ind w:left="20" w:right="0" w:firstLine="0"/>
                    <w:jc w:val="left"/>
                    <w:rPr>
                      <w:sz w:val="20"/>
                    </w:rPr>
                  </w:pPr>
                  <w:r>
                    <w:rPr>
                      <w:color w:val="FFFFFF"/>
                      <w:sz w:val="20"/>
                    </w:rPr>
                    <w:t>The National </w:t>
                  </w:r>
                  <w:r>
                    <w:rPr>
                      <w:color w:val="FFFFFF"/>
                      <w:spacing w:val="-4"/>
                      <w:sz w:val="20"/>
                    </w:rPr>
                    <w:t>Board’s </w:t>
                  </w:r>
                  <w:r>
                    <w:rPr>
                      <w:color w:val="FFFFFF"/>
                      <w:sz w:val="20"/>
                    </w:rPr>
                    <w:t>support and advice to Safeguarding Boards with a view to ensuring that they are effective</w:t>
                  </w:r>
                </w:p>
              </w:txbxContent>
            </v:textbox>
            <w10:wrap type="none"/>
          </v:shape>
        </w:pict>
      </w:r>
      <w:r>
        <w:rPr>
          <w:color w:val="231F20"/>
        </w:rPr>
        <w:t>them on the National </w:t>
      </w:r>
      <w:r>
        <w:rPr>
          <w:color w:val="231F20"/>
          <w:spacing w:val="-5"/>
        </w:rPr>
        <w:t>Board’s </w:t>
      </w:r>
      <w:r>
        <w:rPr>
          <w:color w:val="231F20"/>
        </w:rPr>
        <w:t>website. Since it is easier to make sense of a larger number of reviews, the National Board commissioned a thematic review of six Adult Practice Reviews (since 2016), 10 Domestic Homicide and four Mental Health Homicide Reviews since 2012. The Cardiff University authors, Amanda Robinson, Alyson Rees and Roxana Dehaghani, provided a welcome “aerial” view of these disparate case studies and parallels the National </w:t>
      </w:r>
      <w:r>
        <w:rPr>
          <w:color w:val="231F20"/>
          <w:spacing w:val="-5"/>
        </w:rPr>
        <w:t>Board’s </w:t>
      </w:r>
      <w:r>
        <w:rPr>
          <w:color w:val="231F20"/>
        </w:rPr>
        <w:t>investment in (i) commissioning an equivalent scrutiny of Child Practice Reviews and (ii) the use of computer systems that can learn from and make data-driven decisions by looking at patterns and trends. The National Board continues to explore with Cardiff University, other Welsh Universities, Nesta (Y Lab – Public Services Innovation</w:t>
      </w:r>
      <w:r>
        <w:rPr>
          <w:color w:val="231F20"/>
          <w:spacing w:val="-35"/>
        </w:rPr>
        <w:t> </w:t>
      </w:r>
      <w:r>
        <w:rPr>
          <w:color w:val="231F20"/>
          <w:spacing w:val="-6"/>
        </w:rPr>
        <w:t>Lab </w:t>
      </w:r>
      <w:r>
        <w:rPr>
          <w:color w:val="231F20"/>
        </w:rPr>
        <w:t>for Wales) and Safelives, potential innovations in safeguarding practice and</w:t>
      </w:r>
      <w:r>
        <w:rPr>
          <w:color w:val="231F20"/>
          <w:spacing w:val="-5"/>
        </w:rPr>
        <w:t> </w:t>
      </w:r>
      <w:r>
        <w:rPr>
          <w:color w:val="231F20"/>
        </w:rPr>
        <w:t>“intelligence.”</w:t>
      </w:r>
    </w:p>
    <w:p>
      <w:pPr>
        <w:pStyle w:val="BodyText"/>
        <w:spacing w:before="6"/>
        <w:rPr>
          <w:sz w:val="21"/>
        </w:rPr>
      </w:pPr>
    </w:p>
    <w:p>
      <w:pPr>
        <w:pStyle w:val="BodyText"/>
        <w:spacing w:line="230" w:lineRule="auto"/>
        <w:ind w:left="927" w:right="306"/>
      </w:pPr>
      <w:r>
        <w:rPr>
          <w:color w:val="231F20"/>
        </w:rPr>
        <w:t>Having considered the safeguarding data gathered by the Welsh Government, we recognise its limitations. The source of referrals, the nature of the risks and allegations and the characteristics of the alleged victims are fascinating.</w:t>
      </w:r>
      <w:r>
        <w:rPr>
          <w:color w:val="231F20"/>
          <w:position w:val="7"/>
          <w:sz w:val="13"/>
        </w:rPr>
        <w:t>16  </w:t>
      </w:r>
      <w:r>
        <w:rPr>
          <w:color w:val="231F20"/>
          <w:spacing w:val="-3"/>
        </w:rPr>
        <w:t>However, </w:t>
      </w:r>
      <w:r>
        <w:rPr>
          <w:color w:val="231F20"/>
        </w:rPr>
        <w:t>conclusions about the impact of safeguarding are not revealed by statements about whether or not allegations were substantiated. A more credible data set is required if safeguarding practice is to be compared and evaluated across Wales. The National </w:t>
      </w:r>
      <w:r>
        <w:rPr>
          <w:color w:val="231F20"/>
          <w:spacing w:val="-5"/>
        </w:rPr>
        <w:t>Board’s </w:t>
      </w:r>
      <w:r>
        <w:rPr>
          <w:color w:val="231F20"/>
        </w:rPr>
        <w:t>summit </w:t>
      </w:r>
      <w:r>
        <w:rPr>
          <w:rFonts w:ascii="Avenir" w:hAnsi="Avenir"/>
          <w:b/>
          <w:color w:val="231F20"/>
        </w:rPr>
        <w:t>‘</w:t>
      </w:r>
      <w:r>
        <w:rPr>
          <w:rFonts w:ascii="Avenir-BlackOblique" w:hAnsi="Avenir-BlackOblique"/>
          <w:b/>
          <w:i/>
          <w:color w:val="231F20"/>
        </w:rPr>
        <w:t>Making Safeguarding Count’ </w:t>
      </w:r>
      <w:r>
        <w:rPr>
          <w:color w:val="231F20"/>
        </w:rPr>
        <w:t>considered the information sources which may allow the Regional Safeguarding Boards and the National Board to report on the adequacy and effectiveness of safeguarding arrangements. The resulting Briefing Paper has been circulated </w:t>
      </w:r>
      <w:r>
        <w:rPr>
          <w:color w:val="231F20"/>
          <w:spacing w:val="-9"/>
        </w:rPr>
        <w:t>to </w:t>
      </w:r>
      <w:r>
        <w:rPr>
          <w:color w:val="231F20"/>
        </w:rPr>
        <w:t>the Regional Boards for them to try out ideas such as checking the front page of recorded</w:t>
      </w:r>
      <w:r>
        <w:rPr>
          <w:color w:val="231F20"/>
          <w:spacing w:val="-16"/>
        </w:rPr>
        <w:t> </w:t>
      </w:r>
      <w:r>
        <w:rPr>
          <w:color w:val="231F20"/>
        </w:rPr>
        <w:t>Strategy</w:t>
      </w:r>
    </w:p>
    <w:p>
      <w:pPr>
        <w:pStyle w:val="BodyText"/>
        <w:spacing w:line="230" w:lineRule="auto"/>
        <w:ind w:left="927" w:right="267"/>
      </w:pPr>
      <w:r>
        <w:rPr>
          <w:color w:val="231F20"/>
        </w:rPr>
        <w:t>Meetings for attendance to see how multi-agency they are; the numbers of placements experienced by those who are subject to safeguarding interventions; and asking, where feasible, “For how long did you live with…before you asked for help?” and “What makes you feel safe?”</w:t>
      </w:r>
    </w:p>
    <w:p>
      <w:pPr>
        <w:pStyle w:val="BodyText"/>
        <w:spacing w:before="11"/>
        <w:rPr>
          <w:sz w:val="20"/>
        </w:rPr>
      </w:pPr>
    </w:p>
    <w:p>
      <w:pPr>
        <w:pStyle w:val="BodyText"/>
        <w:spacing w:line="213" w:lineRule="auto" w:before="1"/>
        <w:ind w:left="927"/>
      </w:pPr>
      <w:r>
        <w:rPr>
          <w:color w:val="231F20"/>
        </w:rPr>
        <w:t>The Safeguarding Leadership Summit of 2017 confirmed that </w:t>
      </w:r>
      <w:r>
        <w:rPr>
          <w:rFonts w:ascii="Avenir" w:hAnsi="Avenir"/>
          <w:b/>
          <w:color w:val="231F20"/>
        </w:rPr>
        <w:t>safeguarding leadership </w:t>
      </w:r>
      <w:r>
        <w:rPr>
          <w:color w:val="231F20"/>
        </w:rPr>
        <w:t>is distributed across individuals and organisations at all levels. Individually and collectively, the National Board members’ contacts with regulators across sectors, which do not explicitly contribute to the work</w:t>
      </w:r>
    </w:p>
    <w:p>
      <w:pPr>
        <w:pStyle w:val="BodyText"/>
        <w:spacing w:line="223" w:lineRule="auto"/>
        <w:ind w:left="927" w:right="619"/>
      </w:pPr>
      <w:r>
        <w:rPr>
          <w:color w:val="231F20"/>
        </w:rPr>
        <w:t>of the Regional Boards, has enabled frank discussions about the state of safeguarding in Wales and assessments of the opportunities and constraints on Regional strategies for achieving better safeguarding. Summits during 2018-19 will explicitly seek to construct coalitions and networks of leaders – which include people who use services.</w:t>
      </w:r>
    </w:p>
    <w:p>
      <w:pPr>
        <w:pStyle w:val="BodyText"/>
        <w:spacing w:line="230" w:lineRule="auto" w:before="161"/>
        <w:ind w:left="927" w:right="145"/>
      </w:pPr>
      <w:r>
        <w:rPr>
          <w:color w:val="231F20"/>
        </w:rPr>
        <w:t>The National Board promotes interacting with people over time - rather than occasionally extracting information from them. There are some terrifically inspiring examples of listening to and acting upon the views of children and young people in Wales. However, there is a skew towards listening to children and young people with less investment in gleaning the views of adults. We have promoted real examples of </w:t>
      </w:r>
      <w:r>
        <w:rPr>
          <w:rFonts w:ascii="Avenir"/>
          <w:b/>
          <w:color w:val="231F20"/>
        </w:rPr>
        <w:t>effective and imaginative practice in listening and building trust</w:t>
      </w:r>
      <w:r>
        <w:rPr>
          <w:color w:val="231F20"/>
        </w:rPr>
        <w:t>, acting on what is heard, developing two-way, jargon-free communication, involving advocacy and engaging with the families of children and adults.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r>
        <w:rPr/>
        <w:pict>
          <v:shape style="position:absolute;margin-left:62.362202pt;margin-top:20.53389pt;width:72pt;height:.1pt;mso-position-horizontal-relative:page;mso-position-vertical-relative:paragraph;z-index:-15533568;mso-wrap-distance-left:0;mso-wrap-distance-right:0" coordorigin="1247,411" coordsize="1440,0" path="m1247,411l2687,411e" filled="false" stroked="true" strokeweight="1pt" strokecolor="#231f20">
            <v:path arrowok="t"/>
            <v:stroke dashstyle="solid"/>
            <w10:wrap type="topAndBottom"/>
          </v:shape>
        </w:pict>
      </w:r>
    </w:p>
    <w:p>
      <w:pPr>
        <w:spacing w:before="1"/>
        <w:ind w:left="927" w:right="0" w:firstLine="0"/>
        <w:jc w:val="left"/>
        <w:rPr>
          <w:sz w:val="14"/>
        </w:rPr>
      </w:pPr>
      <w:r>
        <w:rPr>
          <w:color w:val="231F20"/>
          <w:sz w:val="14"/>
        </w:rPr>
        <w:t>16 Two Regional Boards included referral data in their annual reports</w:t>
      </w:r>
    </w:p>
    <w:p>
      <w:pPr>
        <w:spacing w:after="0"/>
        <w:jc w:val="left"/>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25760" filled="true" fillcolor="#d5583b" stroked="false">
            <v:fill type="solid"/>
            <w10:wrap type="none"/>
          </v:rect>
        </w:pict>
      </w:r>
      <w:r>
        <w:rPr/>
        <w:pict>
          <v:shape style="position:absolute;margin-left:573.765198pt;margin-top:172.998016pt;width:15.7pt;height:495.9pt;mso-position-horizontal-relative:page;mso-position-vertical-relative:page;z-index:15926272" type="#_x0000_t202" filled="false" stroked="false">
            <v:textbox inset="0,0,0,0" style="layout-flow:vertical">
              <w:txbxContent>
                <w:p>
                  <w:pPr>
                    <w:spacing w:before="20"/>
                    <w:ind w:left="20" w:right="0" w:firstLine="0"/>
                    <w:jc w:val="left"/>
                    <w:rPr>
                      <w:sz w:val="20"/>
                    </w:rPr>
                  </w:pPr>
                  <w:r>
                    <w:rPr>
                      <w:color w:val="FFFFFF"/>
                      <w:sz w:val="20"/>
                    </w:rPr>
                    <w:t>The National </w:t>
                  </w:r>
                  <w:r>
                    <w:rPr>
                      <w:color w:val="FFFFFF"/>
                      <w:spacing w:val="-4"/>
                      <w:sz w:val="20"/>
                    </w:rPr>
                    <w:t>Board’s </w:t>
                  </w:r>
                  <w:r>
                    <w:rPr>
                      <w:color w:val="FFFFFF"/>
                      <w:sz w:val="20"/>
                    </w:rPr>
                    <w:t>support and advice to Safeguarding Boards with a view to ensuring that they are effective</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55</w:t>
      </w:r>
    </w:p>
    <w:p>
      <w:pPr>
        <w:pStyle w:val="BodyText"/>
        <w:rPr>
          <w:sz w:val="30"/>
        </w:rPr>
      </w:pPr>
    </w:p>
    <w:p>
      <w:pPr>
        <w:pStyle w:val="BodyText"/>
        <w:rPr>
          <w:sz w:val="30"/>
        </w:rPr>
      </w:pPr>
    </w:p>
    <w:p>
      <w:pPr>
        <w:pStyle w:val="BodyText"/>
        <w:spacing w:before="8"/>
        <w:rPr>
          <w:sz w:val="32"/>
        </w:rPr>
      </w:pPr>
    </w:p>
    <w:p>
      <w:pPr>
        <w:pStyle w:val="BodyText"/>
        <w:spacing w:line="216" w:lineRule="auto"/>
        <w:ind w:left="360" w:right="730"/>
      </w:pPr>
      <w:r>
        <w:rPr>
          <w:color w:val="231F20"/>
        </w:rPr>
        <w:t>The National Board has invited Healthcare Inspectorate Wales, the Equality and Human Rights Commission, the </w:t>
      </w:r>
      <w:r>
        <w:rPr>
          <w:color w:val="231F20"/>
          <w:spacing w:val="-3"/>
        </w:rPr>
        <w:t>Children’s </w:t>
      </w:r>
      <w:r>
        <w:rPr>
          <w:color w:val="231F20"/>
        </w:rPr>
        <w:t>Commissioner and colleagues at Cardiff </w:t>
      </w:r>
      <w:r>
        <w:rPr>
          <w:color w:val="231F20"/>
          <w:spacing w:val="-3"/>
        </w:rPr>
        <w:t>University’s </w:t>
      </w:r>
      <w:r>
        <w:rPr>
          <w:color w:val="231F20"/>
        </w:rPr>
        <w:t>Law School to share their learning about </w:t>
      </w:r>
      <w:r>
        <w:rPr>
          <w:rFonts w:ascii="Avenir" w:hAnsi="Avenir"/>
          <w:b/>
          <w:color w:val="231F20"/>
        </w:rPr>
        <w:t>the use of restraint, seclusion and “isolation booths</w:t>
      </w:r>
      <w:r>
        <w:rPr>
          <w:color w:val="231F20"/>
        </w:rPr>
        <w:t>.”</w:t>
      </w:r>
      <w:r>
        <w:rPr>
          <w:color w:val="231F20"/>
          <w:position w:val="7"/>
          <w:sz w:val="13"/>
        </w:rPr>
        <w:t>17 </w:t>
      </w:r>
      <w:r>
        <w:rPr>
          <w:color w:val="231F20"/>
        </w:rPr>
        <w:t>A paper which sets out what is known about the practice in Wales, including how these practices are experienced, will </w:t>
      </w:r>
      <w:r>
        <w:rPr>
          <w:color w:val="231F20"/>
          <w:spacing w:val="-8"/>
        </w:rPr>
        <w:t>be </w:t>
      </w:r>
      <w:r>
        <w:rPr>
          <w:color w:val="231F20"/>
        </w:rPr>
        <w:t>shared with the Regional Boards and</w:t>
      </w:r>
      <w:r>
        <w:rPr>
          <w:color w:val="231F20"/>
          <w:spacing w:val="-1"/>
        </w:rPr>
        <w:t> </w:t>
      </w:r>
      <w:r>
        <w:rPr>
          <w:color w:val="231F20"/>
        </w:rPr>
        <w:t>Ministers.</w:t>
      </w:r>
    </w:p>
    <w:p>
      <w:pPr>
        <w:pStyle w:val="BodyText"/>
        <w:spacing w:line="220" w:lineRule="auto" w:before="156"/>
        <w:ind w:left="360" w:right="640"/>
      </w:pPr>
      <w:r>
        <w:rPr>
          <w:color w:val="231F20"/>
        </w:rPr>
        <w:t>The National Board’s 2017 commission concerning </w:t>
      </w:r>
      <w:r>
        <w:rPr>
          <w:rFonts w:ascii="Avenir" w:hAnsi="Avenir"/>
          <w:b/>
          <w:color w:val="231F20"/>
        </w:rPr>
        <w:t>Elective Home Education </w:t>
      </w:r>
      <w:r>
        <w:rPr>
          <w:color w:val="231F20"/>
        </w:rPr>
        <w:t>has been welcomed by the Regional Safeguarding Boards. Although there is disappointment that there will be a consultation in early 2019 rather than the creation of a register, for example, the Welsh Government has advised that if its approach “has been insufficient to assist local authorities to meet their duty to identify children not receiving a suitable education, then [it] will consider what further measures we need to pursue, including new legislation.”</w:t>
      </w:r>
    </w:p>
    <w:p>
      <w:pPr>
        <w:pStyle w:val="BodyText"/>
        <w:spacing w:line="230" w:lineRule="auto" w:before="158"/>
        <w:ind w:left="360" w:right="697"/>
      </w:pPr>
      <w:r>
        <w:rPr>
          <w:color w:val="231F20"/>
        </w:rPr>
        <w:t>The National Board has undertaken to promote the work of practitioners in social care and health care by sponsoring </w:t>
      </w:r>
      <w:r>
        <w:rPr>
          <w:rFonts w:ascii="Avenir" w:hAnsi="Avenir"/>
          <w:b/>
          <w:color w:val="231F20"/>
        </w:rPr>
        <w:t>safeguarding awards </w:t>
      </w:r>
      <w:r>
        <w:rPr>
          <w:color w:val="231F20"/>
        </w:rPr>
        <w:t>(i) with Social Care Wales and (ii) the Royal College of Nursing. There are individuals and teams whose work with people in distress or crisis delivers huge benefits. When people whose lives are upended by </w:t>
      </w:r>
      <w:r>
        <w:rPr>
          <w:color w:val="231F20"/>
          <w:spacing w:val="-3"/>
        </w:rPr>
        <w:t>poverty, </w:t>
      </w:r>
      <w:r>
        <w:rPr>
          <w:color w:val="231F20"/>
        </w:rPr>
        <w:t>bullying, mental health challenges, addictions, domestic violence or bereavement are assisted to right themselves, the benefits can </w:t>
      </w:r>
      <w:r>
        <w:rPr>
          <w:color w:val="231F20"/>
          <w:spacing w:val="-5"/>
        </w:rPr>
        <w:t>reach </w:t>
      </w:r>
      <w:r>
        <w:rPr>
          <w:color w:val="231F20"/>
        </w:rPr>
        <w:t>well into the future. The persistence and willingness of staff practitioners to enable children, young people and adults to be safe can be transforming in so many ways – and these awards are a powerful way of celebrating the heart-lifting successes of trailblazers.</w:t>
      </w:r>
    </w:p>
    <w:p>
      <w:pPr>
        <w:pStyle w:val="BodyText"/>
        <w:spacing w:before="4"/>
        <w:rPr>
          <w:sz w:val="21"/>
        </w:rPr>
      </w:pPr>
    </w:p>
    <w:p>
      <w:pPr>
        <w:spacing w:line="223" w:lineRule="auto" w:before="0"/>
        <w:ind w:left="360" w:right="1141" w:firstLine="0"/>
        <w:jc w:val="left"/>
        <w:rPr>
          <w:sz w:val="22"/>
        </w:rPr>
      </w:pPr>
      <w:r>
        <w:rPr>
          <w:color w:val="231F20"/>
          <w:sz w:val="22"/>
        </w:rPr>
        <w:t>The National Board’s Annual Report 2016-17 stated of its own work plan that it was “</w:t>
      </w:r>
      <w:r>
        <w:rPr>
          <w:rFonts w:ascii="Avenir" w:hAnsi="Avenir"/>
          <w:b/>
          <w:color w:val="231F20"/>
          <w:sz w:val="22"/>
        </w:rPr>
        <w:t>Identifying a cost-conscious approach to strengthening safeguarding responses within Wales </w:t>
      </w:r>
      <w:r>
        <w:rPr>
          <w:color w:val="231F20"/>
          <w:sz w:val="22"/>
        </w:rPr>
        <w:t>because</w:t>
      </w:r>
    </w:p>
    <w:p>
      <w:pPr>
        <w:pStyle w:val="BodyText"/>
        <w:spacing w:line="230" w:lineRule="auto"/>
        <w:ind w:left="360" w:right="640"/>
      </w:pPr>
      <w:r>
        <w:rPr>
          <w:color w:val="231F20"/>
        </w:rPr>
        <w:t>although some families are very visible to lots of services – the parents may be known to the police and Domestic Abuse services, the children may be known to social services, and individual family members may be conspicuous users of NHS provision – opportunities for multi-agency collaboration may be underdeveloped or missed altogether.” With the blessing of Gwent’s Police and Crime Commissioner, during June 2017, the Regional Safeguarding Board undertook to identify a family which is a high user of multiple services. Managers and practitioners are “mapping” the nature and cost of agency responses within a specific timeframe. The National Board commissioned SafeLives to evaluate this work with a view to initiating (i) credible multi agency engagement and (ii) more focused interventions. It is disappointing that Safelives did not receive permission from the Gwent Regional Board to commence its work.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r>
        <w:rPr/>
        <w:pict>
          <v:shape style="position:absolute;margin-left:34.015701pt;margin-top:10.250960pt;width:72pt;height:.1pt;mso-position-horizontal-relative:page;mso-position-vertical-relative:paragraph;z-index:-15532032;mso-wrap-distance-left:0;mso-wrap-distance-right:0" coordorigin="680,205" coordsize="1440,0" path="m680,205l2120,205e" filled="false" stroked="true" strokeweight="1pt" strokecolor="#231f20">
            <v:path arrowok="t"/>
            <v:stroke dashstyle="solid"/>
            <w10:wrap type="topAndBottom"/>
          </v:shape>
        </w:pict>
      </w:r>
    </w:p>
    <w:p>
      <w:pPr>
        <w:spacing w:line="183" w:lineRule="exact" w:before="1"/>
        <w:ind w:left="360" w:right="0" w:firstLine="0"/>
        <w:jc w:val="left"/>
        <w:rPr>
          <w:rFonts w:ascii="Avenir"/>
          <w:sz w:val="14"/>
        </w:rPr>
      </w:pPr>
      <w:r>
        <w:rPr>
          <w:color w:val="231F20"/>
          <w:sz w:val="14"/>
        </w:rPr>
        <w:t>17 </w:t>
      </w:r>
      <w:hyperlink r:id="rId59">
        <w:r>
          <w:rPr>
            <w:rFonts w:ascii="Avenir"/>
            <w:color w:val="231F20"/>
            <w:sz w:val="14"/>
          </w:rPr>
          <w:t>www.theguardian.com/education/2018/sep/02/barbaric-school-punishment-of-consequence-rooms-criticised-by-parents?CMP=Share_AndroidApp_Email</w:t>
        </w:r>
      </w:hyperlink>
    </w:p>
    <w:p>
      <w:pPr>
        <w:spacing w:line="183" w:lineRule="exact" w:before="0"/>
        <w:ind w:left="560" w:right="0" w:firstLine="0"/>
        <w:jc w:val="left"/>
        <w:rPr>
          <w:sz w:val="14"/>
        </w:rPr>
      </w:pPr>
      <w:r>
        <w:rPr>
          <w:color w:val="231F20"/>
          <w:sz w:val="14"/>
        </w:rPr>
        <w:t>(accessed on 3 September 2018)</w:t>
      </w:r>
    </w:p>
    <w:p>
      <w:pPr>
        <w:spacing w:after="0" w:line="183" w:lineRule="exact"/>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49664" filled="true" fillcolor="#f99d2c" stroked="false">
            <v:fill type="solid"/>
            <w10:wrap type="none"/>
          </v:rect>
        </w:pict>
      </w:r>
    </w:p>
    <w:p>
      <w:pPr>
        <w:pStyle w:val="BodyText"/>
        <w:spacing w:before="6"/>
      </w:pPr>
    </w:p>
    <w:p>
      <w:pPr>
        <w:tabs>
          <w:tab w:pos="7398" w:val="left" w:leader="none"/>
        </w:tabs>
        <w:spacing w:before="100"/>
        <w:ind w:left="927" w:right="0" w:firstLine="0"/>
        <w:jc w:val="left"/>
        <w:rPr>
          <w:sz w:val="16"/>
        </w:rPr>
      </w:pPr>
      <w:r>
        <w:rPr>
          <w:color w:val="231F20"/>
          <w:sz w:val="16"/>
        </w:rPr>
        <w:t>56</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spacing w:before="5"/>
        <w:rPr>
          <w:sz w:val="29"/>
        </w:rPr>
      </w:pPr>
      <w:r>
        <w:rPr/>
        <w:pict>
          <v:group style="position:absolute;margin-left:50.339001pt;margin-top:22.428699pt;width:510.95pt;height:110.6pt;mso-position-horizontal-relative:page;mso-position-vertical-relative:paragraph;z-index:-15530496;mso-wrap-distance-left:0;mso-wrap-distance-right:0" coordorigin="1007,449" coordsize="10219,2212">
            <v:rect style="position:absolute;left:1006;top:533;width:10219;height:1985" filled="true" fillcolor="#f99d2c" stroked="false">
              <v:fill type="solid"/>
            </v:rect>
            <v:line style="position:absolute" from="1960,449" to="1960,2660" stroked="true" strokeweight="2pt" strokecolor="#ffffff">
              <v:stroke dashstyle="solid"/>
            </v:line>
            <v:shape style="position:absolute;left:1980;top:533;width:9246;height:1985" type="#_x0000_t202" filled="true" fillcolor="#f99d2c" stroked="false">
              <v:textbox inset="0,0,0,0">
                <w:txbxContent>
                  <w:p>
                    <w:pPr>
                      <w:spacing w:line="218" w:lineRule="auto" w:before="305"/>
                      <w:ind w:left="321" w:right="1840" w:firstLine="0"/>
                      <w:jc w:val="both"/>
                      <w:rPr>
                        <w:sz w:val="40"/>
                      </w:rPr>
                    </w:pPr>
                    <w:r>
                      <w:rPr>
                        <w:color w:val="FFFFFF"/>
                        <w:sz w:val="40"/>
                      </w:rPr>
                      <w:t>Making recommendations to the Welsh Ministers as to how these arrangements could be improved</w:t>
                    </w:r>
                  </w:p>
                </w:txbxContent>
              </v:textbox>
              <v:fill type="solid"/>
              <w10:wrap type="none"/>
            </v:shape>
            <v:shape style="position:absolute;left:1006;top:533;width:934;height:1985" type="#_x0000_t202" filled="true" fillcolor="#f99d2c" stroked="false">
              <v:textbox inset="0,0,0,0">
                <w:txbxContent>
                  <w:p>
                    <w:pPr>
                      <w:spacing w:before="581"/>
                      <w:ind w:left="297" w:right="0" w:firstLine="0"/>
                      <w:jc w:val="left"/>
                      <w:rPr>
                        <w:rFonts w:ascii="Avenir"/>
                        <w:b/>
                        <w:sz w:val="60"/>
                      </w:rPr>
                    </w:pPr>
                    <w:r>
                      <w:rPr>
                        <w:rFonts w:ascii="Avenir"/>
                        <w:b/>
                        <w:color w:val="FFFFFF"/>
                        <w:sz w:val="60"/>
                      </w:rPr>
                      <w:t>3</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2"/>
        <w:spacing w:before="100"/>
        <w:ind w:right="0"/>
      </w:pPr>
      <w:r>
        <w:rPr/>
        <w:pict>
          <v:group style="position:absolute;margin-left:55.34pt;margin-top:-115.472008pt;width:512.7pt;height:589.4pt;mso-position-horizontal-relative:page;mso-position-vertical-relative:paragraph;z-index:-17649152" coordorigin="1107,-2309" coordsize="10254,11788">
            <v:rect style="position:absolute;left:1136;top:-2280;width:10224;height:11758" filled="true" fillcolor="#231f20" stroked="false">
              <v:fill opacity="26214f" type="solid"/>
            </v:rect>
            <v:rect style="position:absolute;left:1109;top:-2307;width:10003;height:11535" filled="true" fillcolor="#fdfaf0" stroked="false">
              <v:fill type="solid"/>
            </v:rect>
            <v:rect style="position:absolute;left:1109;top:-2307;width:10003;height:11535" filled="false" stroked="true" strokeweight=".25pt" strokecolor="#231f20">
              <v:stroke dashstyle="solid"/>
            </v:rect>
            <v:shape style="position:absolute;left:1958;top:-1051;width:226;height:622" type="#_x0000_t75" stroked="false">
              <v:imagedata r:id="rId60" o:title=""/>
            </v:shape>
            <v:shape style="position:absolute;left:1320;top:-1927;width:1502;height:1282" type="#_x0000_t75" stroked="false">
              <v:imagedata r:id="rId61" o:title=""/>
            </v:shape>
            <v:rect style="position:absolute;left:3039;top:-1198;width:3069;height:26" filled="true" fillcolor="#3b957d" stroked="false">
              <v:fill type="solid"/>
            </v:rect>
            <v:shape style="position:absolute;left:3028;top:-1806;width:3078;height:498" type="#_x0000_t75" stroked="false">
              <v:imagedata r:id="rId62" o:title=""/>
            </v:shape>
            <v:shape style="position:absolute;left:3042;top:-1045;width:2927;height:501" type="#_x0000_t75" stroked="false">
              <v:imagedata r:id="rId63" o:title=""/>
            </v:shape>
            <v:rect style="position:absolute;left:5990;top:-1043;width:35;height:170" filled="true" fillcolor="#3b957d" stroked="false">
              <v:fill type="solid"/>
            </v:rect>
            <w10:wrap type="none"/>
          </v:group>
        </w:pict>
      </w:r>
      <w:r>
        <w:rPr/>
        <w:pict>
          <v:shape style="position:absolute;margin-left:7.0315pt;margin-top:-139.968399pt;width:15.7pt;height:444.45pt;mso-position-horizontal-relative:page;mso-position-vertical-relative:paragraph;z-index:-17648640" type="#_x0000_t202" filled="false" stroked="false">
            <v:textbox inset="0,0,0,0" style="layout-flow:vertical;mso-layout-flow-alt:bottom-to-top">
              <w:txbxContent>
                <w:p>
                  <w:pPr>
                    <w:spacing w:before="20"/>
                    <w:ind w:left="20" w:right="0" w:firstLine="0"/>
                    <w:jc w:val="left"/>
                    <w:rPr>
                      <w:sz w:val="20"/>
                    </w:rPr>
                  </w:pPr>
                  <w:r>
                    <w:rPr>
                      <w:color w:val="FFFFFF"/>
                      <w:sz w:val="20"/>
                    </w:rPr>
                    <w:t>Making recommendations to the Welsh Ministers as to how these arrangements could be improved</w:t>
                  </w:r>
                </w:p>
              </w:txbxContent>
            </v:textbox>
            <w10:wrap type="none"/>
          </v:shape>
        </w:pict>
      </w:r>
      <w:r>
        <w:rPr>
          <w:color w:val="231F20"/>
        </w:rPr>
        <w:t>Letter to Huw Irranca-Davies</w:t>
      </w:r>
    </w:p>
    <w:p>
      <w:pPr>
        <w:pStyle w:val="BodyText"/>
        <w:spacing w:before="248"/>
        <w:ind w:left="1239"/>
      </w:pPr>
      <w:r>
        <w:rPr>
          <w:color w:val="231F20"/>
        </w:rPr>
        <w:t>Minister for Children, Older People and Social Care</w:t>
      </w:r>
    </w:p>
    <w:p>
      <w:pPr>
        <w:pStyle w:val="BodyText"/>
        <w:spacing w:before="3"/>
        <w:rPr>
          <w:sz w:val="21"/>
        </w:rPr>
      </w:pPr>
    </w:p>
    <w:p>
      <w:pPr>
        <w:pStyle w:val="BodyText"/>
        <w:spacing w:line="230" w:lineRule="auto"/>
        <w:ind w:left="1239" w:right="7880"/>
      </w:pPr>
      <w:r>
        <w:rPr>
          <w:color w:val="231F20"/>
        </w:rPr>
        <w:t>Welsh Government 5th Floor</w:t>
      </w:r>
    </w:p>
    <w:p>
      <w:pPr>
        <w:pStyle w:val="BodyText"/>
        <w:spacing w:line="230" w:lineRule="auto"/>
        <w:ind w:left="1239" w:right="8259"/>
      </w:pPr>
      <w:r>
        <w:rPr>
          <w:color w:val="231F20"/>
        </w:rPr>
        <w:t>Tŷ Hywel Cardiff Bay CF99 1NA</w:t>
      </w:r>
    </w:p>
    <w:p>
      <w:pPr>
        <w:pStyle w:val="BodyText"/>
        <w:spacing w:before="10"/>
        <w:rPr>
          <w:sz w:val="20"/>
        </w:rPr>
      </w:pPr>
    </w:p>
    <w:p>
      <w:pPr>
        <w:pStyle w:val="BodyText"/>
        <w:ind w:left="1239"/>
      </w:pPr>
      <w:r>
        <w:rPr>
          <w:color w:val="231F20"/>
        </w:rPr>
        <w:t>Dear Minister,</w:t>
      </w:r>
    </w:p>
    <w:p>
      <w:pPr>
        <w:pStyle w:val="BodyText"/>
        <w:spacing w:before="8"/>
        <w:rPr>
          <w:sz w:val="21"/>
        </w:rPr>
      </w:pPr>
    </w:p>
    <w:p>
      <w:pPr>
        <w:pStyle w:val="Heading2"/>
        <w:spacing w:line="189" w:lineRule="auto" w:before="1"/>
        <w:ind w:right="734"/>
      </w:pPr>
      <w:r>
        <w:rPr>
          <w:color w:val="231F20"/>
        </w:rPr>
        <w:t>Recommendations to the Welsh Ministers as to how safeguarding arrangements could be improved</w:t>
      </w:r>
    </w:p>
    <w:p>
      <w:pPr>
        <w:pStyle w:val="BodyText"/>
        <w:spacing w:line="230" w:lineRule="auto" w:before="276"/>
        <w:ind w:left="1239" w:right="740"/>
      </w:pPr>
      <w:r>
        <w:rPr>
          <w:color w:val="231F20"/>
        </w:rPr>
        <w:t>Since the term of office of the first National Board has passed so quickly we have decided to frame our reflections and recommendations by drawing on a distillation of our</w:t>
      </w:r>
      <w:r>
        <w:rPr>
          <w:color w:val="231F20"/>
          <w:spacing w:val="-25"/>
        </w:rPr>
        <w:t> </w:t>
      </w:r>
      <w:r>
        <w:rPr>
          <w:color w:val="231F20"/>
        </w:rPr>
        <w:t>experience of working in Wales and elsewhere. What follows is our attempt to identify ways of</w:t>
      </w:r>
      <w:r>
        <w:rPr>
          <w:color w:val="231F20"/>
          <w:spacing w:val="-12"/>
        </w:rPr>
        <w:t> </w:t>
      </w:r>
      <w:r>
        <w:rPr>
          <w:color w:val="231F20"/>
        </w:rPr>
        <w:t>working</w:t>
      </w:r>
    </w:p>
    <w:p>
      <w:pPr>
        <w:pStyle w:val="BodyText"/>
        <w:spacing w:line="230" w:lineRule="auto" w:before="1"/>
        <w:ind w:left="1239" w:right="445"/>
      </w:pPr>
      <w:r>
        <w:rPr>
          <w:color w:val="231F20"/>
        </w:rPr>
        <w:t>which have promise in promoting more “safeguarding-conscious” services and exploring the full potentialities of the National Board in the future.</w:t>
      </w:r>
    </w:p>
    <w:p>
      <w:pPr>
        <w:pStyle w:val="BodyText"/>
        <w:spacing w:before="5"/>
        <w:rPr>
          <w:sz w:val="21"/>
        </w:rPr>
      </w:pPr>
    </w:p>
    <w:p>
      <w:pPr>
        <w:pStyle w:val="BodyText"/>
        <w:spacing w:line="230" w:lineRule="auto"/>
        <w:ind w:left="1239" w:right="726"/>
      </w:pPr>
      <w:r>
        <w:rPr>
          <w:color w:val="231F20"/>
        </w:rPr>
        <w:t>Notwithstanding the clarity of its statutory duties, the National Board has adjusted to the challenges and needs identified by the Regional Boards and negotiated a place for itself. Our work planning has sought to support and complement the work of the Regional Boards. Our comments on emergent guidance and Welsh Government commissions concerning safeguarding give expression to the National Board’s interest in adhering to the spirit and letter of the Social Services and Well-being (Wales) Act 2014.</w:t>
      </w:r>
    </w:p>
    <w:p>
      <w:pPr>
        <w:pStyle w:val="BodyText"/>
        <w:spacing w:before="6"/>
        <w:rPr>
          <w:sz w:val="21"/>
        </w:rPr>
      </w:pPr>
    </w:p>
    <w:p>
      <w:pPr>
        <w:pStyle w:val="BodyText"/>
        <w:spacing w:line="230" w:lineRule="auto"/>
        <w:ind w:left="1239" w:right="684"/>
      </w:pPr>
      <w:r>
        <w:rPr>
          <w:color w:val="231F20"/>
        </w:rPr>
        <w:t>The National Board has learned so much from bringing together key people in setting out the challenges of safeguarding in Wales and endorsing the significance of building networks with safeguarding leaders at all levels.</w:t>
      </w:r>
    </w:p>
    <w:p>
      <w:pPr>
        <w:spacing w:after="0" w:line="230" w:lineRule="auto"/>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28832" filled="true" fillcolor="#f99d2c" stroked="false">
            <v:fill type="solid"/>
            <w10:wrap type="none"/>
          </v:rect>
        </w:pict>
      </w:r>
      <w:r>
        <w:rPr/>
        <w:pict>
          <v:shape style="position:absolute;margin-left:573.765198pt;margin-top:198.732712pt;width:15.7pt;height:444.45pt;mso-position-horizontal-relative:page;mso-position-vertical-relative:page;z-index:15929856" type="#_x0000_t202" filled="false" stroked="false">
            <v:textbox inset="0,0,0,0" style="layout-flow:vertical">
              <w:txbxContent>
                <w:p>
                  <w:pPr>
                    <w:spacing w:before="20"/>
                    <w:ind w:left="20" w:right="0" w:firstLine="0"/>
                    <w:jc w:val="left"/>
                    <w:rPr>
                      <w:sz w:val="20"/>
                    </w:rPr>
                  </w:pPr>
                  <w:r>
                    <w:rPr>
                      <w:color w:val="FFFFFF"/>
                      <w:sz w:val="20"/>
                    </w:rPr>
                    <w:t>Making recommendations to the Welsh Ministers as to how these arrangements could be improved</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57</w:t>
      </w:r>
    </w:p>
    <w:p>
      <w:pPr>
        <w:pStyle w:val="BodyText"/>
        <w:rPr>
          <w:sz w:val="30"/>
        </w:rPr>
      </w:pPr>
    </w:p>
    <w:p>
      <w:pPr>
        <w:pStyle w:val="BodyText"/>
        <w:rPr>
          <w:sz w:val="30"/>
        </w:rPr>
      </w:pPr>
    </w:p>
    <w:p>
      <w:pPr>
        <w:pStyle w:val="BodyText"/>
        <w:rPr>
          <w:sz w:val="30"/>
        </w:rPr>
      </w:pPr>
    </w:p>
    <w:p>
      <w:pPr>
        <w:pStyle w:val="BodyText"/>
        <w:spacing w:before="11"/>
        <w:rPr>
          <w:sz w:val="20"/>
        </w:rPr>
      </w:pPr>
    </w:p>
    <w:p>
      <w:pPr>
        <w:pStyle w:val="BodyText"/>
        <w:spacing w:line="230" w:lineRule="auto"/>
        <w:ind w:left="669" w:right="1107"/>
      </w:pPr>
      <w:r>
        <w:rPr/>
        <w:pict>
          <v:group style="position:absolute;margin-left:32.189999pt;margin-top:-20.282986pt;width:512.7pt;height:714.7pt;mso-position-horizontal-relative:page;mso-position-vertical-relative:paragraph;z-index:-17647616" coordorigin="644,-406" coordsize="10254,14294">
            <v:rect style="position:absolute;left:673;top:-376;width:10224;height:14264" filled="true" fillcolor="#231f20" stroked="false">
              <v:fill opacity="26214f" type="solid"/>
            </v:rect>
            <v:rect style="position:absolute;left:646;top:-404;width:10003;height:14041" filled="true" fillcolor="#fdfaf0" stroked="false">
              <v:fill type="solid"/>
            </v:rect>
            <v:rect style="position:absolute;left:646;top:-404;width:10003;height:14041" filled="false" stroked="true" strokeweight=".25pt" strokecolor="#231f20">
              <v:stroke dashstyle="solid"/>
            </v:rect>
            <w10:wrap type="none"/>
          </v:group>
        </w:pict>
      </w:r>
      <w:r>
        <w:rPr>
          <w:color w:val="231F20"/>
        </w:rPr>
        <w:t>The acknowledgement of the Regional Board Chairs – the leaders and managers - of the need to work together, influence and inspire others is critical to preventing harm and protecting people.</w:t>
      </w:r>
    </w:p>
    <w:p>
      <w:pPr>
        <w:pStyle w:val="BodyText"/>
        <w:spacing w:before="6"/>
        <w:rPr>
          <w:sz w:val="21"/>
        </w:rPr>
      </w:pPr>
    </w:p>
    <w:p>
      <w:pPr>
        <w:pStyle w:val="BodyText"/>
        <w:spacing w:line="230" w:lineRule="auto"/>
        <w:ind w:left="669" w:right="1061"/>
      </w:pPr>
      <w:r>
        <w:rPr>
          <w:color w:val="231F20"/>
        </w:rPr>
        <w:t>Such fruitful initiatives have taken place alongside the National </w:t>
      </w:r>
      <w:r>
        <w:rPr>
          <w:color w:val="231F20"/>
          <w:spacing w:val="-5"/>
        </w:rPr>
        <w:t>Board’s </w:t>
      </w:r>
      <w:r>
        <w:rPr>
          <w:color w:val="231F20"/>
        </w:rPr>
        <w:t>less visible </w:t>
      </w:r>
      <w:r>
        <w:rPr>
          <w:color w:val="231F20"/>
          <w:spacing w:val="-2"/>
        </w:rPr>
        <w:t>negotiations </w:t>
      </w:r>
      <w:r>
        <w:rPr>
          <w:color w:val="231F20"/>
        </w:rPr>
        <w:t>in response to local pressures and events. In fact, learning has been a critical theme from the outset. The overused term “learning lessons” does not do justice to the learning associated with safeguarding which typically operates with ambiguous or incomplete information, the expertise that results from dealing with concrete problems and learning from accumulating experience. Experts typically draw on a range of solutions adapted to the problem. Expertise in adult safeguarding hinges on the use of legislation, a readiness to consider whether or not an individual is at risk of harm with “reasonable cause to suspect” that they may be so, making enquiries and taking thoughtful and proportionate action. This recalls one of the National </w:t>
      </w:r>
      <w:r>
        <w:rPr>
          <w:color w:val="231F20"/>
          <w:spacing w:val="-5"/>
        </w:rPr>
        <w:t>Board’s </w:t>
      </w:r>
      <w:r>
        <w:rPr>
          <w:color w:val="231F20"/>
        </w:rPr>
        <w:t>missteps during 2016-17. We sought information from the Regional Boards about safeguarding training by invoking S.139 - which was ignored by four Boards! The timing was wrong but the intention behind it remains relevant. Although it is encouraging that</w:t>
      </w:r>
      <w:r>
        <w:rPr>
          <w:color w:val="231F20"/>
          <w:spacing w:val="-10"/>
        </w:rPr>
        <w:t> </w:t>
      </w:r>
      <w:r>
        <w:rPr>
          <w:color w:val="231F20"/>
        </w:rPr>
        <w:t>Boards</w:t>
      </w:r>
    </w:p>
    <w:p>
      <w:pPr>
        <w:pStyle w:val="BodyText"/>
        <w:spacing w:line="230" w:lineRule="auto" w:before="2"/>
        <w:ind w:left="669" w:right="1262"/>
      </w:pPr>
      <w:r>
        <w:rPr>
          <w:color w:val="231F20"/>
        </w:rPr>
        <w:t>are sharing their own analyses of training needs with Social Care Wales, there is no overview of safeguarding training in Wales and there are no standards against which training may be judged.</w:t>
      </w:r>
    </w:p>
    <w:p>
      <w:pPr>
        <w:pStyle w:val="BodyText"/>
        <w:spacing w:before="11"/>
        <w:rPr>
          <w:sz w:val="21"/>
        </w:rPr>
      </w:pPr>
    </w:p>
    <w:p>
      <w:pPr>
        <w:pStyle w:val="Heading2"/>
        <w:spacing w:line="189" w:lineRule="auto" w:before="1"/>
        <w:ind w:left="669" w:right="1086"/>
        <w:jc w:val="both"/>
      </w:pPr>
      <w:r>
        <w:rPr>
          <w:color w:val="231F20"/>
          <w:spacing w:val="-3"/>
        </w:rPr>
        <w:t>We </w:t>
      </w:r>
      <w:r>
        <w:rPr>
          <w:color w:val="231F20"/>
        </w:rPr>
        <w:t>recommend a national, e-learning safeguarding module for entry level/ tier 1 training which is relevant to sports clubs, the fire service and </w:t>
      </w:r>
      <w:r>
        <w:rPr>
          <w:color w:val="231F20"/>
          <w:spacing w:val="-3"/>
        </w:rPr>
        <w:t>housing </w:t>
      </w:r>
      <w:r>
        <w:rPr>
          <w:color w:val="231F20"/>
        </w:rPr>
        <w:t>officers, for example, and which is not ring-fenced to social care</w:t>
      </w:r>
    </w:p>
    <w:p>
      <w:pPr>
        <w:pStyle w:val="BodyText"/>
        <w:spacing w:line="230" w:lineRule="auto" w:before="276"/>
        <w:ind w:left="669" w:right="1634"/>
      </w:pPr>
      <w:r>
        <w:rPr>
          <w:color w:val="231F20"/>
        </w:rPr>
        <w:t>Another misstep of the National Board concerns our hesitancy in the use of social media. Having only dipped our toes in social media, it is arguably time to start paddling.</w:t>
      </w:r>
    </w:p>
    <w:p>
      <w:pPr>
        <w:pStyle w:val="BodyText"/>
        <w:spacing w:before="5"/>
        <w:rPr>
          <w:sz w:val="21"/>
        </w:rPr>
      </w:pPr>
    </w:p>
    <w:p>
      <w:pPr>
        <w:pStyle w:val="BodyText"/>
        <w:spacing w:line="230" w:lineRule="auto"/>
        <w:ind w:left="669" w:right="1186"/>
      </w:pPr>
      <w:r>
        <w:rPr>
          <w:color w:val="231F20"/>
        </w:rPr>
        <w:t>The National Board determined at the outset that it would not comment on individual Practice Reviews since this would compromise our duty to provide “support and advice” to the Regional Boards. This “rule of thumb” is recommended in spite of the full force of public opinion expressed in unmediated social media. </w:t>
      </w:r>
      <w:r>
        <w:rPr>
          <w:color w:val="231F20"/>
          <w:spacing w:val="-3"/>
        </w:rPr>
        <w:t>However, </w:t>
      </w:r>
      <w:r>
        <w:rPr>
          <w:color w:val="231F20"/>
        </w:rPr>
        <w:t>there are three matters of </w:t>
      </w:r>
      <w:r>
        <w:rPr>
          <w:color w:val="231F20"/>
          <w:spacing w:val="-3"/>
        </w:rPr>
        <w:t>relevance </w:t>
      </w:r>
      <w:r>
        <w:rPr>
          <w:color w:val="231F20"/>
        </w:rPr>
        <w:t>to Practice Reviews:</w:t>
      </w:r>
    </w:p>
    <w:p>
      <w:pPr>
        <w:pStyle w:val="BodyText"/>
        <w:spacing w:before="6"/>
        <w:rPr>
          <w:sz w:val="21"/>
        </w:rPr>
      </w:pPr>
    </w:p>
    <w:p>
      <w:pPr>
        <w:pStyle w:val="ListParagraph"/>
        <w:numPr>
          <w:ilvl w:val="0"/>
          <w:numId w:val="29"/>
        </w:numPr>
        <w:tabs>
          <w:tab w:pos="1009" w:val="left" w:leader="none"/>
          <w:tab w:pos="1010" w:val="left" w:leader="none"/>
        </w:tabs>
        <w:spacing w:line="230" w:lineRule="auto" w:before="0" w:after="0"/>
        <w:ind w:left="1009" w:right="997" w:hanging="340"/>
        <w:jc w:val="left"/>
        <w:rPr>
          <w:sz w:val="22"/>
        </w:rPr>
      </w:pPr>
      <w:r>
        <w:rPr>
          <w:color w:val="231F20"/>
          <w:sz w:val="22"/>
        </w:rPr>
        <w:t>their availability – although the regulation states, </w:t>
      </w:r>
      <w:r>
        <w:rPr>
          <w:rFonts w:ascii="Avenir-BookOblique" w:hAnsi="Avenir-BookOblique"/>
          <w:i/>
          <w:color w:val="231F20"/>
          <w:sz w:val="22"/>
        </w:rPr>
        <w:t>make the practice review report publicly available </w:t>
      </w:r>
      <w:r>
        <w:rPr>
          <w:color w:val="231F20"/>
          <w:sz w:val="22"/>
        </w:rPr>
        <w:t>(The Safeguarding Boards (Functions and Procedures) (Wales) Regulations 2015 4. (5)(l)), some Regional Boards removed them from their websites. This led the National </w:t>
      </w:r>
      <w:r>
        <w:rPr>
          <w:color w:val="231F20"/>
          <w:spacing w:val="-5"/>
          <w:sz w:val="22"/>
        </w:rPr>
        <w:t>Board </w:t>
      </w:r>
      <w:r>
        <w:rPr>
          <w:color w:val="231F20"/>
          <w:sz w:val="22"/>
        </w:rPr>
        <w:t>to accommodate reviews on its website during</w:t>
      </w:r>
      <w:r>
        <w:rPr>
          <w:color w:val="231F20"/>
          <w:spacing w:val="-1"/>
          <w:sz w:val="22"/>
        </w:rPr>
        <w:t> </w:t>
      </w:r>
      <w:r>
        <w:rPr>
          <w:color w:val="231F20"/>
          <w:sz w:val="22"/>
        </w:rPr>
        <w:t>2017-18</w:t>
      </w:r>
    </w:p>
    <w:p>
      <w:pPr>
        <w:pStyle w:val="ListParagraph"/>
        <w:numPr>
          <w:ilvl w:val="0"/>
          <w:numId w:val="29"/>
        </w:numPr>
        <w:tabs>
          <w:tab w:pos="1009" w:val="left" w:leader="none"/>
          <w:tab w:pos="1010" w:val="left" w:leader="none"/>
        </w:tabs>
        <w:spacing w:line="230" w:lineRule="auto" w:before="114" w:after="0"/>
        <w:ind w:left="1009" w:right="1025" w:hanging="340"/>
        <w:jc w:val="left"/>
        <w:rPr>
          <w:sz w:val="22"/>
        </w:rPr>
      </w:pPr>
      <w:r>
        <w:rPr>
          <w:color w:val="231F20"/>
          <w:sz w:val="22"/>
        </w:rPr>
        <w:t>the interpretation of the regulation, </w:t>
      </w:r>
      <w:r>
        <w:rPr>
          <w:rFonts w:ascii="Avenir-BookOblique" w:hAnsi="Avenir-BookOblique"/>
          <w:i/>
          <w:color w:val="231F20"/>
          <w:sz w:val="22"/>
        </w:rPr>
        <w:t>ensure that the practice review report does not reveal the identity or whereabouts of the child or adult who is the subject of the review or that of the </w:t>
      </w:r>
      <w:r>
        <w:rPr>
          <w:rFonts w:ascii="Avenir-BookOblique" w:hAnsi="Avenir-BookOblique"/>
          <w:i/>
          <w:color w:val="231F20"/>
          <w:spacing w:val="-3"/>
          <w:sz w:val="22"/>
        </w:rPr>
        <w:t>subject’s </w:t>
      </w:r>
      <w:r>
        <w:rPr>
          <w:rFonts w:ascii="Avenir-BookOblique" w:hAnsi="Avenir-BookOblique"/>
          <w:i/>
          <w:color w:val="231F20"/>
          <w:sz w:val="22"/>
        </w:rPr>
        <w:t>family </w:t>
      </w:r>
      <w:r>
        <w:rPr>
          <w:color w:val="231F20"/>
          <w:sz w:val="22"/>
        </w:rPr>
        <w:t>(4. (5)(i)). Gender is a critical consideration in safeguarding. Since </w:t>
      </w:r>
      <w:r>
        <w:rPr>
          <w:color w:val="231F20"/>
          <w:spacing w:val="-3"/>
          <w:sz w:val="22"/>
        </w:rPr>
        <w:t>people </w:t>
      </w:r>
      <w:r>
        <w:rPr>
          <w:color w:val="231F20"/>
          <w:sz w:val="22"/>
        </w:rPr>
        <w:t>are not genderless and professionals do not deal with them as genderless, Practice Reviews should not make them so.</w:t>
      </w:r>
    </w:p>
    <w:p>
      <w:pPr>
        <w:pStyle w:val="ListParagraph"/>
        <w:numPr>
          <w:ilvl w:val="0"/>
          <w:numId w:val="29"/>
        </w:numPr>
        <w:tabs>
          <w:tab w:pos="1009" w:val="left" w:leader="none"/>
          <w:tab w:pos="1010" w:val="left" w:leader="none"/>
        </w:tabs>
        <w:spacing w:line="230" w:lineRule="auto" w:before="114" w:after="0"/>
        <w:ind w:left="1009" w:right="1128" w:hanging="340"/>
        <w:jc w:val="left"/>
        <w:rPr>
          <w:sz w:val="22"/>
        </w:rPr>
      </w:pPr>
      <w:r>
        <w:rPr>
          <w:color w:val="231F20"/>
          <w:sz w:val="22"/>
        </w:rPr>
        <w:t>Action planning - we would be misled if we thought that lengthy “Action Plans” </w:t>
      </w:r>
      <w:r>
        <w:rPr>
          <w:color w:val="231F20"/>
          <w:spacing w:val="-3"/>
          <w:sz w:val="22"/>
        </w:rPr>
        <w:t>addressed </w:t>
      </w:r>
      <w:r>
        <w:rPr>
          <w:color w:val="231F20"/>
          <w:sz w:val="22"/>
        </w:rPr>
        <w:t>the harms and cruelties which result in Practice Reviews. Action Plans may take many months of chasing before they are finally “signed off” - by which time their connection to the rationale for the review may have been long since</w:t>
      </w:r>
      <w:r>
        <w:rPr>
          <w:color w:val="231F20"/>
          <w:spacing w:val="-1"/>
          <w:sz w:val="22"/>
        </w:rPr>
        <w:t> </w:t>
      </w:r>
      <w:r>
        <w:rPr>
          <w:color w:val="231F20"/>
          <w:sz w:val="22"/>
        </w:rPr>
        <w:t>lost.</w:t>
      </w:r>
    </w:p>
    <w:p>
      <w:pPr>
        <w:spacing w:after="0" w:line="230" w:lineRule="auto"/>
        <w:jc w:val="left"/>
        <w:rPr>
          <w:sz w:val="22"/>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46592" filled="true" fillcolor="#f99d2c" stroked="false">
            <v:fill type="solid"/>
            <w10:wrap type="none"/>
          </v:rect>
        </w:pict>
      </w:r>
    </w:p>
    <w:p>
      <w:pPr>
        <w:pStyle w:val="BodyText"/>
        <w:spacing w:before="6"/>
      </w:pPr>
    </w:p>
    <w:p>
      <w:pPr>
        <w:tabs>
          <w:tab w:pos="7398" w:val="left" w:leader="none"/>
        </w:tabs>
        <w:spacing w:before="100"/>
        <w:ind w:left="927" w:right="0" w:firstLine="0"/>
        <w:jc w:val="left"/>
        <w:rPr>
          <w:sz w:val="16"/>
        </w:rPr>
      </w:pPr>
      <w:r>
        <w:rPr>
          <w:color w:val="231F20"/>
          <w:sz w:val="16"/>
        </w:rPr>
        <w:t>58</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189" w:lineRule="auto" w:before="321"/>
        <w:ind w:left="1281" w:right="661"/>
        <w:jc w:val="both"/>
      </w:pPr>
      <w:r>
        <w:rPr/>
        <w:pict>
          <v:group style="position:absolute;margin-left:61.623001pt;margin-top:-32.696274pt;width:512.7pt;height:714.7pt;mso-position-horizontal-relative:page;mso-position-vertical-relative:paragraph;z-index:-17646080" coordorigin="1232,-654" coordsize="10254,14294">
            <v:rect style="position:absolute;left:1262;top:-624;width:10224;height:14264" filled="true" fillcolor="#231f20" stroked="false">
              <v:fill opacity="26214f" type="solid"/>
            </v:rect>
            <v:rect style="position:absolute;left:1234;top:-652;width:10003;height:14041" filled="true" fillcolor="#fdfaf0" stroked="false">
              <v:fill type="solid"/>
            </v:rect>
            <v:rect style="position:absolute;left:1234;top:-652;width:10003;height:14041" filled="false" stroked="true" strokeweight=".25pt" strokecolor="#231f20">
              <v:stroke dashstyle="solid"/>
            </v:rect>
            <w10:wrap type="none"/>
          </v:group>
        </w:pict>
      </w:r>
      <w:r>
        <w:rPr>
          <w:color w:val="231F20"/>
          <w:spacing w:val="-3"/>
        </w:rPr>
        <w:t>We </w:t>
      </w:r>
      <w:r>
        <w:rPr>
          <w:color w:val="231F20"/>
        </w:rPr>
        <w:t>recommend that all Child/ Adult Practice Reviews (a) are published </w:t>
      </w:r>
      <w:r>
        <w:rPr>
          <w:color w:val="231F20"/>
          <w:spacing w:val="-9"/>
        </w:rPr>
        <w:t>on </w:t>
      </w:r>
      <w:r>
        <w:rPr>
          <w:color w:val="231F20"/>
        </w:rPr>
        <w:t>the National </w:t>
      </w:r>
      <w:r>
        <w:rPr>
          <w:color w:val="231F20"/>
          <w:spacing w:val="-4"/>
        </w:rPr>
        <w:t>Board’s </w:t>
      </w:r>
      <w:r>
        <w:rPr>
          <w:color w:val="231F20"/>
        </w:rPr>
        <w:t>website on an interim basis and (b) that they specify the gender of the individuals concerned.</w:t>
      </w:r>
    </w:p>
    <w:p>
      <w:pPr>
        <w:pStyle w:val="BodyText"/>
        <w:spacing w:line="230" w:lineRule="auto" w:before="276"/>
        <w:ind w:left="1281" w:right="445"/>
      </w:pPr>
      <w:r>
        <w:rPr/>
        <w:pict>
          <v:shape style="position:absolute;margin-left:7.0315pt;margin-top:16.485987pt;width:15.7pt;height:444.45pt;mso-position-horizontal-relative:page;mso-position-vertical-relative:paragraph;z-index:-17645568" type="#_x0000_t202" filled="false" stroked="false">
            <v:textbox inset="0,0,0,0" style="layout-flow:vertical;mso-layout-flow-alt:bottom-to-top">
              <w:txbxContent>
                <w:p>
                  <w:pPr>
                    <w:spacing w:before="20"/>
                    <w:ind w:left="20" w:right="0" w:firstLine="0"/>
                    <w:jc w:val="left"/>
                    <w:rPr>
                      <w:sz w:val="20"/>
                    </w:rPr>
                  </w:pPr>
                  <w:r>
                    <w:rPr>
                      <w:color w:val="FFFFFF"/>
                      <w:sz w:val="20"/>
                    </w:rPr>
                    <w:t>Making recommendations to the Welsh Ministers as to how these arrangements could be improved</w:t>
                  </w:r>
                </w:p>
              </w:txbxContent>
            </v:textbox>
            <w10:wrap type="none"/>
          </v:shape>
        </w:pict>
      </w:r>
      <w:r>
        <w:rPr>
          <w:color w:val="231F20"/>
        </w:rPr>
        <w:t>Disclosure and Barring Service (DBS) checks are exercising the Regional Safeguarding Boards. Questions which we have been asked include: should councillors be subject to DBS checking? Which agency should pay for the checking process? Why are different standards applied to professionals in contact with the same individuals? We have re-directed the questioners to the DBS and to Welsh Government in the knowledge that similar questions will continue to be asked.</w:t>
      </w:r>
    </w:p>
    <w:p>
      <w:pPr>
        <w:pStyle w:val="BodyText"/>
        <w:spacing w:before="6"/>
        <w:rPr>
          <w:sz w:val="21"/>
        </w:rPr>
      </w:pPr>
    </w:p>
    <w:p>
      <w:pPr>
        <w:pStyle w:val="BodyText"/>
        <w:spacing w:line="230" w:lineRule="auto"/>
        <w:ind w:left="1281" w:right="415"/>
      </w:pPr>
      <w:r>
        <w:rPr>
          <w:color w:val="231F20"/>
        </w:rPr>
        <w:t>It appears to us that the desire to over-specify safeguarding activities remains very prominent and is played out in drafting of procedures and protocols – as though seemingly repetitive problems may be solved by prescribing an identical sequence of operations. It is disappointing that there is no brake on the development of protocols.</w:t>
      </w:r>
    </w:p>
    <w:p>
      <w:pPr>
        <w:pStyle w:val="BodyText"/>
        <w:spacing w:before="10"/>
        <w:rPr>
          <w:sz w:val="20"/>
        </w:rPr>
      </w:pPr>
    </w:p>
    <w:p>
      <w:pPr>
        <w:pStyle w:val="BodyText"/>
        <w:ind w:left="1281"/>
      </w:pPr>
      <w:r>
        <w:rPr>
          <w:color w:val="231F20"/>
        </w:rPr>
        <w:t>The regulations identify one of the functions of the Boards as:</w:t>
      </w:r>
    </w:p>
    <w:p>
      <w:pPr>
        <w:pStyle w:val="BodyText"/>
        <w:spacing w:before="7"/>
        <w:rPr>
          <w:sz w:val="20"/>
        </w:rPr>
      </w:pPr>
    </w:p>
    <w:p>
      <w:pPr>
        <w:spacing w:before="0"/>
        <w:ind w:left="1281" w:right="0" w:firstLine="0"/>
        <w:jc w:val="left"/>
        <w:rPr>
          <w:rFonts w:ascii="Avenir"/>
          <w:i/>
          <w:sz w:val="22"/>
        </w:rPr>
      </w:pPr>
      <w:r>
        <w:rPr>
          <w:rFonts w:ascii="Avenir"/>
          <w:i/>
          <w:color w:val="231F20"/>
          <w:sz w:val="22"/>
        </w:rPr>
        <w:t>3. (2) to cooperate with other safeguarding boards and the National Board with a view to-</w:t>
      </w:r>
    </w:p>
    <w:p>
      <w:pPr>
        <w:pStyle w:val="BodyText"/>
        <w:spacing w:before="9"/>
        <w:rPr>
          <w:rFonts w:ascii="Avenir"/>
          <w:i/>
          <w:sz w:val="21"/>
        </w:rPr>
      </w:pPr>
    </w:p>
    <w:p>
      <w:pPr>
        <w:pStyle w:val="ListParagraph"/>
        <w:numPr>
          <w:ilvl w:val="0"/>
          <w:numId w:val="30"/>
        </w:numPr>
        <w:tabs>
          <w:tab w:pos="1518" w:val="left" w:leader="none"/>
        </w:tabs>
        <w:spacing w:line="223" w:lineRule="auto" w:before="0" w:after="0"/>
        <w:ind w:left="1281" w:right="425" w:firstLine="0"/>
        <w:jc w:val="left"/>
        <w:rPr>
          <w:rFonts w:ascii="Avenir"/>
          <w:i/>
          <w:sz w:val="22"/>
        </w:rPr>
      </w:pPr>
      <w:r>
        <w:rPr>
          <w:rFonts w:ascii="Avenir"/>
          <w:i/>
          <w:color w:val="231F20"/>
          <w:sz w:val="22"/>
        </w:rPr>
        <w:t>contributing to the development and review of </w:t>
      </w:r>
      <w:r>
        <w:rPr>
          <w:rFonts w:ascii="Avenir-BlackOblique"/>
          <w:b/>
          <w:i/>
          <w:color w:val="231F20"/>
          <w:sz w:val="22"/>
        </w:rPr>
        <w:t>national policies and procedures</w:t>
      </w:r>
      <w:r>
        <w:rPr>
          <w:rFonts w:ascii="Avenir-BlackOblique"/>
          <w:b/>
          <w:i/>
          <w:color w:val="231F20"/>
          <w:spacing w:val="-36"/>
          <w:sz w:val="22"/>
        </w:rPr>
        <w:t> </w:t>
      </w:r>
      <w:r>
        <w:rPr>
          <w:color w:val="231F20"/>
          <w:sz w:val="22"/>
        </w:rPr>
        <w:t>[emphasis added] </w:t>
      </w:r>
      <w:r>
        <w:rPr>
          <w:rFonts w:ascii="Avenir"/>
          <w:i/>
          <w:color w:val="231F20"/>
          <w:sz w:val="22"/>
        </w:rPr>
        <w:t>for Safeguarding</w:t>
      </w:r>
      <w:r>
        <w:rPr>
          <w:rFonts w:ascii="Avenir"/>
          <w:i/>
          <w:color w:val="231F20"/>
          <w:spacing w:val="-1"/>
          <w:sz w:val="22"/>
        </w:rPr>
        <w:t> </w:t>
      </w:r>
      <w:r>
        <w:rPr>
          <w:rFonts w:ascii="Avenir"/>
          <w:i/>
          <w:color w:val="231F20"/>
          <w:sz w:val="22"/>
        </w:rPr>
        <w:t>Boards,</w:t>
      </w:r>
    </w:p>
    <w:p>
      <w:pPr>
        <w:pStyle w:val="BodyText"/>
        <w:spacing w:before="8"/>
        <w:rPr>
          <w:rFonts w:ascii="Avenir"/>
          <w:i/>
          <w:sz w:val="21"/>
        </w:rPr>
      </w:pPr>
    </w:p>
    <w:p>
      <w:pPr>
        <w:pStyle w:val="ListParagraph"/>
        <w:numPr>
          <w:ilvl w:val="0"/>
          <w:numId w:val="30"/>
        </w:numPr>
        <w:tabs>
          <w:tab w:pos="1571" w:val="left" w:leader="none"/>
        </w:tabs>
        <w:spacing w:line="230" w:lineRule="auto" w:before="0" w:after="0"/>
        <w:ind w:left="1281" w:right="440" w:firstLine="0"/>
        <w:jc w:val="left"/>
        <w:rPr>
          <w:rFonts w:ascii="Avenir"/>
          <w:i/>
          <w:sz w:val="22"/>
        </w:rPr>
      </w:pPr>
      <w:r>
        <w:rPr>
          <w:rFonts w:ascii="Avenir"/>
          <w:i/>
          <w:color w:val="231F20"/>
          <w:sz w:val="22"/>
        </w:rPr>
        <w:t>implementing national policies and procedures recommended </w:t>
      </w:r>
      <w:r>
        <w:rPr>
          <w:rFonts w:ascii="Avenir"/>
          <w:i/>
          <w:color w:val="231F20"/>
          <w:spacing w:val="-6"/>
          <w:sz w:val="22"/>
        </w:rPr>
        <w:t>by, </w:t>
      </w:r>
      <w:r>
        <w:rPr>
          <w:rFonts w:ascii="Avenir"/>
          <w:i/>
          <w:color w:val="231F20"/>
          <w:sz w:val="22"/>
        </w:rPr>
        <w:t>and guidance and </w:t>
      </w:r>
      <w:r>
        <w:rPr>
          <w:rFonts w:ascii="Avenir"/>
          <w:i/>
          <w:color w:val="231F20"/>
          <w:spacing w:val="-3"/>
          <w:sz w:val="22"/>
        </w:rPr>
        <w:t>advice </w:t>
      </w:r>
      <w:r>
        <w:rPr>
          <w:rFonts w:ascii="Avenir"/>
          <w:i/>
          <w:color w:val="231F20"/>
          <w:sz w:val="22"/>
        </w:rPr>
        <w:t>given </w:t>
      </w:r>
      <w:r>
        <w:rPr>
          <w:rFonts w:ascii="Avenir"/>
          <w:i/>
          <w:color w:val="231F20"/>
          <w:spacing w:val="-6"/>
          <w:sz w:val="22"/>
        </w:rPr>
        <w:t>by, </w:t>
      </w:r>
      <w:r>
        <w:rPr>
          <w:rFonts w:ascii="Avenir"/>
          <w:i/>
          <w:color w:val="231F20"/>
          <w:sz w:val="22"/>
        </w:rPr>
        <w:t>the National</w:t>
      </w:r>
      <w:r>
        <w:rPr>
          <w:rFonts w:ascii="Avenir"/>
          <w:i/>
          <w:color w:val="231F20"/>
          <w:spacing w:val="5"/>
          <w:sz w:val="22"/>
        </w:rPr>
        <w:t> </w:t>
      </w:r>
      <w:r>
        <w:rPr>
          <w:rFonts w:ascii="Avenir"/>
          <w:i/>
          <w:color w:val="231F20"/>
          <w:sz w:val="22"/>
        </w:rPr>
        <w:t>Board.</w:t>
      </w:r>
    </w:p>
    <w:p>
      <w:pPr>
        <w:pStyle w:val="BodyText"/>
        <w:spacing w:before="10"/>
        <w:rPr>
          <w:rFonts w:ascii="Avenir"/>
          <w:i/>
          <w:sz w:val="20"/>
        </w:rPr>
      </w:pPr>
    </w:p>
    <w:p>
      <w:pPr>
        <w:pStyle w:val="BodyText"/>
        <w:ind w:left="1281"/>
      </w:pPr>
      <w:r>
        <w:rPr>
          <w:color w:val="231F20"/>
        </w:rPr>
        <w:t>The Statutory Guidance elaborates:</w:t>
      </w:r>
    </w:p>
    <w:p>
      <w:pPr>
        <w:pStyle w:val="BodyText"/>
        <w:spacing w:before="3"/>
        <w:rPr>
          <w:sz w:val="21"/>
        </w:rPr>
      </w:pPr>
    </w:p>
    <w:p>
      <w:pPr>
        <w:spacing w:line="230" w:lineRule="auto" w:before="0"/>
        <w:ind w:left="1281" w:right="445" w:firstLine="0"/>
        <w:jc w:val="left"/>
        <w:rPr>
          <w:rFonts w:ascii="Avenir" w:hAnsi="Avenir"/>
          <w:i/>
          <w:sz w:val="22"/>
        </w:rPr>
      </w:pPr>
      <w:r>
        <w:rPr>
          <w:rFonts w:ascii="Avenir" w:hAnsi="Avenir"/>
          <w:i/>
          <w:color w:val="231F20"/>
          <w:sz w:val="22"/>
        </w:rPr>
        <w:t>113. a) …and to contribute to developing policies and procedures to coordinate what is done by the partners and bodies represented on the Board for the purposes of protecting adults and children and preventing abuse…</w:t>
      </w:r>
    </w:p>
    <w:p>
      <w:pPr>
        <w:pStyle w:val="BodyText"/>
        <w:spacing w:before="5"/>
        <w:rPr>
          <w:rFonts w:ascii="Avenir"/>
          <w:i/>
          <w:sz w:val="21"/>
        </w:rPr>
      </w:pPr>
    </w:p>
    <w:p>
      <w:pPr>
        <w:spacing w:line="230" w:lineRule="auto" w:before="0"/>
        <w:ind w:left="1281" w:right="915" w:firstLine="0"/>
        <w:jc w:val="left"/>
        <w:rPr>
          <w:rFonts w:ascii="Avenir"/>
          <w:i/>
          <w:sz w:val="22"/>
        </w:rPr>
      </w:pPr>
      <w:r>
        <w:rPr>
          <w:rFonts w:ascii="Avenir"/>
          <w:i/>
          <w:color w:val="231F20"/>
          <w:sz w:val="22"/>
        </w:rPr>
        <w:t>123. A Safeguarding Board must ensure local protocols are in place which coordinate the inter-agency work being undertaken within the area of the Board and by Board partners and other bodies represented on the Board and by other bodies with safeguarding responsibilities. These protocols should be kept under review as to their usefulness and</w:t>
      </w:r>
    </w:p>
    <w:p>
      <w:pPr>
        <w:spacing w:line="230" w:lineRule="auto" w:before="1"/>
        <w:ind w:left="1281" w:right="432" w:firstLine="0"/>
        <w:jc w:val="left"/>
        <w:rPr>
          <w:rFonts w:ascii="Avenir"/>
          <w:i/>
          <w:sz w:val="22"/>
        </w:rPr>
      </w:pPr>
      <w:r>
        <w:rPr>
          <w:rFonts w:ascii="Avenir"/>
          <w:i/>
          <w:color w:val="231F20"/>
          <w:sz w:val="22"/>
        </w:rPr>
        <w:t>effectiveness in informing and guiding individuals and agencies in their contact with the Board and their access to multi-agency protection services within their area, and to monitor how the</w:t>
      </w:r>
    </w:p>
    <w:p>
      <w:pPr>
        <w:spacing w:after="0" w:line="230" w:lineRule="auto"/>
        <w:jc w:val="left"/>
        <w:rPr>
          <w:rFonts w:ascii="Avenir"/>
          <w:sz w:val="22"/>
        </w:rPr>
        <w:sectPr>
          <w:pgSz w:w="11910" w:h="16840"/>
          <w:pgMar w:top="0" w:bottom="0" w:left="320" w:right="560"/>
        </w:sectPr>
      </w:pPr>
    </w:p>
    <w:p>
      <w:pPr>
        <w:pStyle w:val="BodyText"/>
        <w:rPr>
          <w:rFonts w:ascii="Avenir"/>
          <w:i/>
          <w:sz w:val="20"/>
        </w:rPr>
      </w:pPr>
      <w:r>
        <w:rPr/>
        <w:pict>
          <v:rect style="position:absolute;margin-left:566.929016pt;margin-top:0pt;width:28.347001pt;height:841.890015pt;mso-position-horizontal-relative:page;mso-position-vertical-relative:page;z-index:15931904" filled="true" fillcolor="#f99d2c" stroked="false">
            <v:fill type="solid"/>
            <w10:wrap type="none"/>
          </v:rect>
        </w:pict>
      </w:r>
      <w:r>
        <w:rPr/>
        <w:pict>
          <v:shape style="position:absolute;margin-left:573.765198pt;margin-top:198.732712pt;width:15.7pt;height:444.45pt;mso-position-horizontal-relative:page;mso-position-vertical-relative:page;z-index:15932928" type="#_x0000_t202" filled="false" stroked="false">
            <v:textbox inset="0,0,0,0" style="layout-flow:vertical">
              <w:txbxContent>
                <w:p>
                  <w:pPr>
                    <w:spacing w:before="20"/>
                    <w:ind w:left="20" w:right="0" w:firstLine="0"/>
                    <w:jc w:val="left"/>
                    <w:rPr>
                      <w:sz w:val="20"/>
                    </w:rPr>
                  </w:pPr>
                  <w:r>
                    <w:rPr>
                      <w:color w:val="FFFFFF"/>
                      <w:sz w:val="20"/>
                    </w:rPr>
                    <w:t>Making recommendations to the Welsh Ministers as to how these arrangements could be improved</w:t>
                  </w:r>
                </w:p>
              </w:txbxContent>
            </v:textbox>
            <w10:wrap type="none"/>
          </v:shape>
        </w:pict>
      </w:r>
    </w:p>
    <w:p>
      <w:pPr>
        <w:pStyle w:val="BodyText"/>
        <w:spacing w:before="6"/>
        <w:rPr>
          <w:rFonts w:ascii="Avenir"/>
          <w:i/>
        </w:rPr>
      </w:pPr>
    </w:p>
    <w:p>
      <w:pPr>
        <w:tabs>
          <w:tab w:pos="10338" w:val="right" w:leader="none"/>
        </w:tabs>
        <w:spacing w:before="100"/>
        <w:ind w:left="360" w:right="0" w:firstLine="0"/>
        <w:jc w:val="left"/>
        <w:rPr>
          <w:sz w:val="16"/>
        </w:rPr>
      </w:pPr>
      <w:r>
        <w:rPr>
          <w:color w:val="231F20"/>
          <w:sz w:val="16"/>
        </w:rPr>
        <w:t>Annual Report 2017-18</w:t>
        <w:tab/>
        <w:t>59</w:t>
      </w:r>
    </w:p>
    <w:p>
      <w:pPr>
        <w:pStyle w:val="BodyText"/>
        <w:rPr>
          <w:sz w:val="30"/>
        </w:rPr>
      </w:pPr>
    </w:p>
    <w:p>
      <w:pPr>
        <w:pStyle w:val="BodyText"/>
        <w:rPr>
          <w:sz w:val="30"/>
        </w:rPr>
      </w:pPr>
    </w:p>
    <w:p>
      <w:pPr>
        <w:pStyle w:val="BodyText"/>
        <w:spacing w:before="6"/>
        <w:rPr>
          <w:sz w:val="38"/>
        </w:rPr>
      </w:pPr>
    </w:p>
    <w:p>
      <w:pPr>
        <w:spacing w:before="0"/>
        <w:ind w:left="693" w:right="0" w:firstLine="0"/>
        <w:jc w:val="left"/>
        <w:rPr>
          <w:rFonts w:ascii="Avenir"/>
          <w:i/>
          <w:sz w:val="22"/>
        </w:rPr>
      </w:pPr>
      <w:r>
        <w:rPr/>
        <w:pict>
          <v:group style="position:absolute;margin-left:32.189999pt;margin-top:-17.716820pt;width:512.7pt;height:714.7pt;mso-position-horizontal-relative:page;mso-position-vertical-relative:paragraph;z-index:-17644544" coordorigin="644,-354" coordsize="10254,14294">
            <v:rect style="position:absolute;left:673;top:-325;width:10224;height:14264" filled="true" fillcolor="#231f20" stroked="false">
              <v:fill opacity="26214f" type="solid"/>
            </v:rect>
            <v:rect style="position:absolute;left:646;top:-352;width:10003;height:14041" filled="true" fillcolor="#fdfaf0" stroked="false">
              <v:fill type="solid"/>
            </v:rect>
            <v:rect style="position:absolute;left:646;top:-352;width:10003;height:14041" filled="false" stroked="true" strokeweight=".25pt" strokecolor="#231f20">
              <v:stroke dashstyle="solid"/>
            </v:rect>
            <v:line style="position:absolute" from="1013,13006" to="2453,13006" stroked="true" strokeweight="1pt" strokecolor="#231f20">
              <v:stroke dashstyle="solid"/>
            </v:line>
            <w10:wrap type="none"/>
          </v:group>
        </w:pict>
      </w:r>
      <w:r>
        <w:rPr>
          <w:rFonts w:ascii="Avenir"/>
          <w:i/>
          <w:color w:val="231F20"/>
          <w:sz w:val="22"/>
        </w:rPr>
        <w:t>protocols improve inter-agency service responses and delivery in the area.</w:t>
      </w:r>
    </w:p>
    <w:p>
      <w:pPr>
        <w:pStyle w:val="BodyText"/>
        <w:spacing w:before="2"/>
        <w:rPr>
          <w:rFonts w:ascii="Avenir"/>
          <w:i/>
          <w:sz w:val="21"/>
        </w:rPr>
      </w:pPr>
    </w:p>
    <w:p>
      <w:pPr>
        <w:pStyle w:val="BodyText"/>
        <w:spacing w:line="230" w:lineRule="auto"/>
        <w:ind w:left="693" w:right="979"/>
        <w:rPr>
          <w:sz w:val="13"/>
        </w:rPr>
      </w:pPr>
      <w:r>
        <w:rPr>
          <w:color w:val="231F20"/>
        </w:rPr>
        <w:t>The questions the National Board posed last year remain pertinent because no specific protocols, tools, strategies or procedures are reported to have been abandoned as a result of reviews:</w:t>
      </w:r>
      <w:r>
        <w:rPr>
          <w:color w:val="231F20"/>
          <w:position w:val="7"/>
          <w:sz w:val="13"/>
        </w:rPr>
        <w:t>18</w:t>
      </w:r>
    </w:p>
    <w:p>
      <w:pPr>
        <w:pStyle w:val="BodyText"/>
        <w:spacing w:before="6"/>
        <w:rPr>
          <w:sz w:val="21"/>
        </w:rPr>
      </w:pPr>
    </w:p>
    <w:p>
      <w:pPr>
        <w:pStyle w:val="ListParagraph"/>
        <w:numPr>
          <w:ilvl w:val="0"/>
          <w:numId w:val="31"/>
        </w:numPr>
        <w:tabs>
          <w:tab w:pos="994" w:val="left" w:leader="none"/>
        </w:tabs>
        <w:spacing w:line="230" w:lineRule="auto" w:before="0" w:after="0"/>
        <w:ind w:left="993" w:right="2264" w:hanging="300"/>
        <w:jc w:val="left"/>
        <w:rPr>
          <w:sz w:val="22"/>
        </w:rPr>
      </w:pPr>
      <w:r>
        <w:rPr>
          <w:color w:val="231F20"/>
          <w:sz w:val="22"/>
        </w:rPr>
        <w:t>How are individuals who are known to have been at risk of harm involved in </w:t>
      </w:r>
      <w:r>
        <w:rPr>
          <w:color w:val="231F20"/>
          <w:spacing w:val="-6"/>
          <w:sz w:val="22"/>
        </w:rPr>
        <w:t>the </w:t>
      </w:r>
      <w:r>
        <w:rPr>
          <w:color w:val="231F20"/>
          <w:sz w:val="22"/>
        </w:rPr>
        <w:t>development of protocols, tools, strategies and</w:t>
      </w:r>
      <w:r>
        <w:rPr>
          <w:color w:val="231F20"/>
          <w:spacing w:val="-2"/>
          <w:sz w:val="22"/>
        </w:rPr>
        <w:t> </w:t>
      </w:r>
      <w:r>
        <w:rPr>
          <w:color w:val="231F20"/>
          <w:sz w:val="22"/>
        </w:rPr>
        <w:t>procedures?</w:t>
      </w:r>
    </w:p>
    <w:p>
      <w:pPr>
        <w:pStyle w:val="ListParagraph"/>
        <w:numPr>
          <w:ilvl w:val="0"/>
          <w:numId w:val="31"/>
        </w:numPr>
        <w:tabs>
          <w:tab w:pos="994" w:val="left" w:leader="none"/>
        </w:tabs>
        <w:spacing w:line="230" w:lineRule="auto" w:before="227" w:after="0"/>
        <w:ind w:left="993" w:right="1359" w:hanging="300"/>
        <w:jc w:val="left"/>
        <w:rPr>
          <w:sz w:val="22"/>
        </w:rPr>
      </w:pPr>
      <w:r>
        <w:rPr>
          <w:color w:val="231F20"/>
          <w:sz w:val="22"/>
        </w:rPr>
        <w:t>Do the Regional Boards have evidence that protocols, policies, tools and procedures </w:t>
      </w:r>
      <w:r>
        <w:rPr>
          <w:color w:val="231F20"/>
          <w:spacing w:val="-8"/>
          <w:sz w:val="22"/>
        </w:rPr>
        <w:t>are </w:t>
      </w:r>
      <w:r>
        <w:rPr>
          <w:color w:val="231F20"/>
          <w:sz w:val="22"/>
        </w:rPr>
        <w:t>increasing the predictability of</w:t>
      </w:r>
      <w:r>
        <w:rPr>
          <w:color w:val="231F20"/>
          <w:spacing w:val="-1"/>
          <w:sz w:val="22"/>
        </w:rPr>
        <w:t> </w:t>
      </w:r>
      <w:r>
        <w:rPr>
          <w:color w:val="231F20"/>
          <w:sz w:val="22"/>
        </w:rPr>
        <w:t>practice?</w:t>
      </w:r>
    </w:p>
    <w:p>
      <w:pPr>
        <w:pStyle w:val="ListParagraph"/>
        <w:numPr>
          <w:ilvl w:val="0"/>
          <w:numId w:val="31"/>
        </w:numPr>
        <w:tabs>
          <w:tab w:pos="994" w:val="left" w:leader="none"/>
        </w:tabs>
        <w:spacing w:line="286" w:lineRule="exact" w:before="218" w:after="0"/>
        <w:ind w:left="993" w:right="0" w:hanging="301"/>
        <w:jc w:val="left"/>
        <w:rPr>
          <w:sz w:val="22"/>
        </w:rPr>
      </w:pPr>
      <w:r>
        <w:rPr>
          <w:color w:val="231F20"/>
          <w:sz w:val="22"/>
        </w:rPr>
        <w:t>How are practitioners assured that these documents are indispensable to</w:t>
      </w:r>
      <w:r>
        <w:rPr>
          <w:color w:val="231F20"/>
          <w:spacing w:val="-3"/>
          <w:sz w:val="22"/>
        </w:rPr>
        <w:t> </w:t>
      </w:r>
      <w:r>
        <w:rPr>
          <w:color w:val="231F20"/>
          <w:sz w:val="22"/>
        </w:rPr>
        <w:t>informing</w:t>
      </w:r>
    </w:p>
    <w:p>
      <w:pPr>
        <w:pStyle w:val="BodyText"/>
        <w:spacing w:line="286" w:lineRule="exact"/>
        <w:ind w:left="993"/>
      </w:pPr>
      <w:r>
        <w:rPr>
          <w:color w:val="231F20"/>
        </w:rPr>
        <w:t>effective and efficient practice?</w:t>
      </w:r>
    </w:p>
    <w:p>
      <w:pPr>
        <w:pStyle w:val="ListParagraph"/>
        <w:numPr>
          <w:ilvl w:val="0"/>
          <w:numId w:val="31"/>
        </w:numPr>
        <w:tabs>
          <w:tab w:pos="994" w:val="left" w:leader="none"/>
        </w:tabs>
        <w:spacing w:line="230" w:lineRule="auto" w:before="224" w:after="0"/>
        <w:ind w:left="993" w:right="1206" w:hanging="300"/>
        <w:jc w:val="left"/>
        <w:rPr>
          <w:sz w:val="22"/>
        </w:rPr>
      </w:pPr>
      <w:r>
        <w:rPr>
          <w:color w:val="231F20"/>
          <w:sz w:val="22"/>
        </w:rPr>
        <w:t>Do the Regional Boards take the view that their protocols have applicability across </w:t>
      </w:r>
      <w:r>
        <w:rPr>
          <w:color w:val="231F20"/>
          <w:spacing w:val="-3"/>
          <w:sz w:val="22"/>
        </w:rPr>
        <w:t>diverse </w:t>
      </w:r>
      <w:r>
        <w:rPr>
          <w:color w:val="231F20"/>
          <w:sz w:val="22"/>
        </w:rPr>
        <w:t>groups and</w:t>
      </w:r>
      <w:r>
        <w:rPr>
          <w:color w:val="231F20"/>
          <w:spacing w:val="-1"/>
          <w:sz w:val="22"/>
        </w:rPr>
        <w:t> </w:t>
      </w:r>
      <w:r>
        <w:rPr>
          <w:color w:val="231F20"/>
          <w:sz w:val="22"/>
        </w:rPr>
        <w:t>situations?</w:t>
      </w:r>
    </w:p>
    <w:p>
      <w:pPr>
        <w:pStyle w:val="ListParagraph"/>
        <w:numPr>
          <w:ilvl w:val="0"/>
          <w:numId w:val="31"/>
        </w:numPr>
        <w:tabs>
          <w:tab w:pos="994" w:val="left" w:leader="none"/>
        </w:tabs>
        <w:spacing w:line="230" w:lineRule="auto" w:before="228" w:after="0"/>
        <w:ind w:left="993" w:right="1113" w:hanging="300"/>
        <w:jc w:val="left"/>
        <w:rPr>
          <w:sz w:val="22"/>
        </w:rPr>
      </w:pPr>
      <w:r>
        <w:rPr>
          <w:color w:val="231F20"/>
          <w:sz w:val="22"/>
        </w:rPr>
        <w:t>Are the Regional Boards assured that their protocols are helpful to the individuals </w:t>
      </w:r>
      <w:r>
        <w:rPr>
          <w:color w:val="231F20"/>
          <w:spacing w:val="-3"/>
          <w:sz w:val="22"/>
        </w:rPr>
        <w:t>receiving </w:t>
      </w:r>
      <w:r>
        <w:rPr>
          <w:color w:val="231F20"/>
          <w:sz w:val="22"/>
        </w:rPr>
        <w:t>safeguarding</w:t>
      </w:r>
      <w:r>
        <w:rPr>
          <w:color w:val="231F20"/>
          <w:spacing w:val="-1"/>
          <w:sz w:val="22"/>
        </w:rPr>
        <w:t> </w:t>
      </w:r>
      <w:r>
        <w:rPr>
          <w:color w:val="231F20"/>
          <w:sz w:val="22"/>
        </w:rPr>
        <w:t>services?</w:t>
      </w:r>
    </w:p>
    <w:p>
      <w:pPr>
        <w:pStyle w:val="ListParagraph"/>
        <w:numPr>
          <w:ilvl w:val="0"/>
          <w:numId w:val="31"/>
        </w:numPr>
        <w:tabs>
          <w:tab w:pos="994" w:val="left" w:leader="none"/>
        </w:tabs>
        <w:spacing w:line="240" w:lineRule="auto" w:before="218" w:after="0"/>
        <w:ind w:left="993" w:right="0" w:hanging="301"/>
        <w:jc w:val="left"/>
        <w:rPr>
          <w:sz w:val="22"/>
        </w:rPr>
      </w:pPr>
      <w:r>
        <w:rPr>
          <w:color w:val="231F20"/>
          <w:sz w:val="22"/>
        </w:rPr>
        <w:t>How does the creation of non-statutory protocols ensure accountable</w:t>
      </w:r>
      <w:r>
        <w:rPr>
          <w:color w:val="231F20"/>
          <w:spacing w:val="-4"/>
          <w:sz w:val="22"/>
        </w:rPr>
        <w:t> </w:t>
      </w:r>
      <w:r>
        <w:rPr>
          <w:color w:val="231F20"/>
          <w:sz w:val="22"/>
        </w:rPr>
        <w:t>implementation?</w:t>
      </w:r>
    </w:p>
    <w:p>
      <w:pPr>
        <w:pStyle w:val="BodyText"/>
        <w:spacing w:line="230" w:lineRule="auto" w:before="224"/>
        <w:ind w:left="693" w:right="1064"/>
      </w:pPr>
      <w:r>
        <w:rPr>
          <w:color w:val="231F20"/>
        </w:rPr>
        <w:t>It appears that some Regional Boards are like software companies writing codes to protect their products. They are attuned to viruses which thrive on finding flaws and the response is to write evermore protective software. As new ‘problems’ come to light, policies are required to render the safeguarding system more comprehensive. Ways of removing the struts supporting this continuing generation of policies and their associated guidance is to amend paragraph 123 of the statutory guidance. There is a danger that practitioners will be overwhelmed by increasing volumes of national and regional protocols, policies and guidance.</w:t>
      </w:r>
    </w:p>
    <w:p>
      <w:pPr>
        <w:pStyle w:val="BodyText"/>
        <w:spacing w:before="10"/>
        <w:rPr>
          <w:sz w:val="20"/>
        </w:rPr>
      </w:pPr>
    </w:p>
    <w:p>
      <w:pPr>
        <w:pStyle w:val="BodyText"/>
        <w:spacing w:line="286" w:lineRule="exact" w:before="1"/>
        <w:ind w:left="693"/>
      </w:pPr>
      <w:r>
        <w:rPr>
          <w:color w:val="231F20"/>
        </w:rPr>
        <w:t>We can confirm the obstinate persistence of all Regional Boards in their efforts to bring</w:t>
      </w:r>
    </w:p>
    <w:p>
      <w:pPr>
        <w:pStyle w:val="BodyText"/>
        <w:spacing w:line="230" w:lineRule="auto" w:before="3"/>
        <w:ind w:left="693" w:right="1141"/>
      </w:pPr>
      <w:r>
        <w:rPr>
          <w:color w:val="231F20"/>
        </w:rPr>
        <w:t>the importance of safeguarding children, young people and adults to the attention of their communities. We do not want the energy behind such persistence to be dissipated or locked in the formula of protocols and guidance – because these cannot, and should not, direct the discretion of all professionals in all circumstances.</w:t>
      </w:r>
    </w:p>
    <w:p>
      <w:pPr>
        <w:pStyle w:val="BodyText"/>
        <w:spacing w:before="11"/>
        <w:rPr>
          <w:sz w:val="21"/>
        </w:rPr>
      </w:pPr>
    </w:p>
    <w:p>
      <w:pPr>
        <w:pStyle w:val="Heading2"/>
        <w:spacing w:line="189" w:lineRule="auto"/>
        <w:ind w:left="693"/>
      </w:pPr>
      <w:r>
        <w:rPr>
          <w:color w:val="231F20"/>
        </w:rPr>
        <w:t>We recommend a more considered approach to the development of policies and procedures which addresses questions 1-6.</w:t>
      </w:r>
    </w:p>
    <w:p>
      <w:pPr>
        <w:pStyle w:val="BodyText"/>
        <w:spacing w:line="230" w:lineRule="auto" w:before="277"/>
        <w:ind w:left="693" w:right="1159"/>
      </w:pPr>
      <w:r>
        <w:rPr>
          <w:color w:val="231F20"/>
        </w:rPr>
        <w:t>The 2017-18 Annual Reports from the six Safeguarding Board Areas evidence more compliance with the content requirements than last </w:t>
      </w:r>
      <w:r>
        <w:rPr>
          <w:color w:val="231F20"/>
          <w:spacing w:val="-5"/>
        </w:rPr>
        <w:t>year’s </w:t>
      </w:r>
      <w:r>
        <w:rPr>
          <w:color w:val="231F20"/>
        </w:rPr>
        <w:t>reports. </w:t>
      </w:r>
      <w:r>
        <w:rPr>
          <w:color w:val="231F20"/>
          <w:spacing w:val="-3"/>
        </w:rPr>
        <w:t>However, </w:t>
      </w:r>
      <w:r>
        <w:rPr>
          <w:color w:val="231F20"/>
        </w:rPr>
        <w:t>we do not share the faith of some organisations in their senior salaried managers attending meetings, giving or receiving presentations as evidence of collaboration. Board members’ attendance at </w:t>
      </w:r>
      <w:r>
        <w:rPr>
          <w:color w:val="231F20"/>
          <w:spacing w:val="-5"/>
        </w:rPr>
        <w:t>Board </w:t>
      </w:r>
      <w:r>
        <w:rPr>
          <w:color w:val="231F20"/>
        </w:rPr>
        <w:t>and sub group meetings is an insufficient criterion of participation and</w:t>
      </w:r>
      <w:r>
        <w:rPr>
          <w:color w:val="231F20"/>
          <w:spacing w:val="-2"/>
        </w:rPr>
        <w:t> </w:t>
      </w:r>
      <w:r>
        <w:rPr>
          <w:color w:val="231F20"/>
        </w:rPr>
        <w:t>collaboration.</w:t>
      </w:r>
    </w:p>
    <w:p>
      <w:pPr>
        <w:pStyle w:val="BodyText"/>
        <w:rPr>
          <w:sz w:val="20"/>
        </w:rPr>
      </w:pPr>
    </w:p>
    <w:p>
      <w:pPr>
        <w:pStyle w:val="BodyText"/>
        <w:rPr>
          <w:sz w:val="20"/>
        </w:rPr>
      </w:pPr>
    </w:p>
    <w:p>
      <w:pPr>
        <w:pStyle w:val="BodyText"/>
        <w:rPr>
          <w:sz w:val="18"/>
        </w:rPr>
      </w:pPr>
    </w:p>
    <w:p>
      <w:pPr>
        <w:spacing w:before="0"/>
        <w:ind w:left="693" w:right="0" w:firstLine="0"/>
        <w:jc w:val="left"/>
        <w:rPr>
          <w:sz w:val="14"/>
        </w:rPr>
      </w:pPr>
      <w:r>
        <w:rPr>
          <w:color w:val="231F20"/>
          <w:sz w:val="14"/>
        </w:rPr>
        <w:t>18 Cwm Taf refers to “the cessation of existing protocols that are no longer relevant”</w:t>
      </w:r>
    </w:p>
    <w:p>
      <w:pPr>
        <w:spacing w:after="0"/>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43520" filled="true" fillcolor="#f99d2c" stroked="false">
            <v:fill type="solid"/>
            <w10:wrap type="none"/>
          </v:rect>
        </w:pict>
      </w:r>
    </w:p>
    <w:p>
      <w:pPr>
        <w:pStyle w:val="BodyText"/>
        <w:spacing w:before="6"/>
      </w:pPr>
    </w:p>
    <w:p>
      <w:pPr>
        <w:tabs>
          <w:tab w:pos="7398" w:val="left" w:leader="none"/>
        </w:tabs>
        <w:spacing w:before="100"/>
        <w:ind w:left="927" w:right="0" w:firstLine="0"/>
        <w:jc w:val="left"/>
        <w:rPr>
          <w:sz w:val="16"/>
        </w:rPr>
      </w:pPr>
      <w:r>
        <w:rPr>
          <w:color w:val="231F20"/>
          <w:sz w:val="16"/>
        </w:rPr>
        <w:t>60</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spacing w:before="13"/>
        <w:rPr>
          <w:sz w:val="26"/>
        </w:rPr>
      </w:pPr>
    </w:p>
    <w:p>
      <w:pPr>
        <w:pStyle w:val="BodyText"/>
        <w:spacing w:line="230" w:lineRule="auto" w:before="109"/>
        <w:ind w:left="1239" w:right="646"/>
      </w:pPr>
      <w:r>
        <w:rPr/>
        <w:pict>
          <v:group style="position:absolute;margin-left:61.623001pt;margin-top:-10.108370pt;width:512.7pt;height:714.7pt;mso-position-horizontal-relative:page;mso-position-vertical-relative:paragraph;z-index:-17643008" coordorigin="1232,-202" coordsize="10254,14294">
            <v:rect style="position:absolute;left:1262;top:-173;width:10224;height:14264" filled="true" fillcolor="#231f20" stroked="false">
              <v:fill opacity="26214f" type="solid"/>
            </v:rect>
            <v:rect style="position:absolute;left:1234;top:-200;width:10003;height:14041" filled="true" fillcolor="#fdfaf0" stroked="false">
              <v:fill type="solid"/>
            </v:rect>
            <v:rect style="position:absolute;left:1234;top:-200;width:10003;height:14041" filled="false" stroked="true" strokeweight=".25pt" strokecolor="#231f20">
              <v:stroke dashstyle="solid"/>
            </v:rect>
            <v:line style="position:absolute" from="1559,13129" to="2999,13129" stroked="true" strokeweight="1pt" strokecolor="#231f20">
              <v:stroke dashstyle="solid"/>
            </v:line>
            <w10:wrap type="none"/>
          </v:group>
        </w:pict>
      </w:r>
      <w:r>
        <w:rPr>
          <w:color w:val="231F20"/>
        </w:rPr>
        <w:t>The experience of the National Board is that some agencies attend and contribute nothing. The Chairs may wish to consider complementing an agency’s self-assessment of its contributions with their own “audit” of the effectiveness of individual agency contributions to the multi-agency priorities.</w:t>
      </w:r>
    </w:p>
    <w:p>
      <w:pPr>
        <w:pStyle w:val="BodyText"/>
        <w:spacing w:before="5"/>
        <w:rPr>
          <w:sz w:val="21"/>
        </w:rPr>
      </w:pPr>
    </w:p>
    <w:p>
      <w:pPr>
        <w:pStyle w:val="BodyText"/>
        <w:spacing w:line="230" w:lineRule="auto"/>
        <w:ind w:left="1239" w:right="514"/>
      </w:pPr>
      <w:r>
        <w:rPr/>
        <w:pict>
          <v:shape style="position:absolute;margin-left:7.0315pt;margin-top:20.875011pt;width:15.7pt;height:444.45pt;mso-position-horizontal-relative:page;mso-position-vertical-relative:paragraph;z-index:-17642496" type="#_x0000_t202" filled="false" stroked="false">
            <v:textbox inset="0,0,0,0" style="layout-flow:vertical;mso-layout-flow-alt:bottom-to-top">
              <w:txbxContent>
                <w:p>
                  <w:pPr>
                    <w:spacing w:before="20"/>
                    <w:ind w:left="20" w:right="0" w:firstLine="0"/>
                    <w:jc w:val="left"/>
                    <w:rPr>
                      <w:sz w:val="20"/>
                    </w:rPr>
                  </w:pPr>
                  <w:r>
                    <w:rPr>
                      <w:color w:val="FFFFFF"/>
                      <w:sz w:val="20"/>
                    </w:rPr>
                    <w:t>Making recommendations to the Welsh Ministers as to how these arrangements could be improved</w:t>
                  </w:r>
                </w:p>
              </w:txbxContent>
            </v:textbox>
            <w10:wrap type="none"/>
          </v:shape>
        </w:pict>
      </w:r>
      <w:r>
        <w:rPr>
          <w:color w:val="231F20"/>
        </w:rPr>
        <w:t>There are some stunning examples of safeguarding children, young people and adults in Wales and yet the task of identifying the individuals, agencies and leaders responsible for these is not, so </w:t>
      </w:r>
      <w:r>
        <w:rPr>
          <w:color w:val="231F20"/>
          <w:spacing w:val="-6"/>
        </w:rPr>
        <w:t>far, </w:t>
      </w:r>
      <w:r>
        <w:rPr>
          <w:color w:val="231F20"/>
        </w:rPr>
        <w:t>being undertaken. Some Boards have discarded the distortions that result from being wedded to a single way of doing things and are learning with children, young people and adults – as well as with colleagues across disciplines. The foundations of Mid and West Wales’ change initiatives result from senior managers acknowledging the resources and strengths of children and young people – and has changed the nature of relationships; and </w:t>
      </w:r>
      <w:r>
        <w:rPr>
          <w:color w:val="231F20"/>
          <w:spacing w:val="-6"/>
        </w:rPr>
        <w:t>the </w:t>
      </w:r>
      <w:r>
        <w:rPr>
          <w:color w:val="231F20"/>
        </w:rPr>
        <w:t>lead Coroner in North Wales has endorsed the Regional </w:t>
      </w:r>
      <w:r>
        <w:rPr>
          <w:color w:val="231F20"/>
          <w:spacing w:val="-5"/>
        </w:rPr>
        <w:t>Board’s </w:t>
      </w:r>
      <w:r>
        <w:rPr>
          <w:color w:val="231F20"/>
        </w:rPr>
        <w:t>work concerning adults who self-neglect – which is setting out where and how to begin the process of change grounded in the adults’ circumstances and priorities.</w:t>
      </w:r>
    </w:p>
    <w:p>
      <w:pPr>
        <w:pStyle w:val="BodyText"/>
      </w:pPr>
    </w:p>
    <w:p>
      <w:pPr>
        <w:pStyle w:val="Heading2"/>
        <w:spacing w:line="189" w:lineRule="auto"/>
        <w:ind w:right="532"/>
        <w:jc w:val="both"/>
      </w:pPr>
      <w:r>
        <w:rPr>
          <w:color w:val="231F20"/>
          <w:spacing w:val="-3"/>
        </w:rPr>
        <w:t>We </w:t>
      </w:r>
      <w:r>
        <w:rPr>
          <w:color w:val="231F20"/>
        </w:rPr>
        <w:t>recommend that Regional Boards set out the ways in which they are </w:t>
      </w:r>
      <w:r>
        <w:rPr>
          <w:color w:val="231F20"/>
          <w:spacing w:val="-6"/>
        </w:rPr>
        <w:t>(a) </w:t>
      </w:r>
      <w:r>
        <w:rPr>
          <w:color w:val="231F20"/>
        </w:rPr>
        <w:t>engaging with children, young people </w:t>
      </w:r>
      <w:r>
        <w:rPr>
          <w:rFonts w:ascii="Avenir-BlackOblique"/>
          <w:i/>
          <w:color w:val="231F20"/>
        </w:rPr>
        <w:t>and adults </w:t>
      </w:r>
      <w:r>
        <w:rPr>
          <w:color w:val="231F20"/>
        </w:rPr>
        <w:t>and (b) taking action as a result.</w:t>
      </w:r>
    </w:p>
    <w:p>
      <w:pPr>
        <w:pStyle w:val="BodyText"/>
        <w:spacing w:line="230" w:lineRule="auto" w:before="276"/>
        <w:ind w:left="1239" w:right="656"/>
      </w:pPr>
      <w:r>
        <w:rPr>
          <w:color w:val="231F20"/>
        </w:rPr>
        <w:t>The Regional Boards are more likely to engage with children and young people than with adults. The Violence Against Women, Domestic Abuse and Sexual Violence Act (2015) partnerships are connected to the work of the Regional Safeguarding Boards via overlapping membership. However, this does not imply a collaborative and integrated response from adult safeguarding and domestic abuse services. For example, acts of violence towards people of 60+ years are more likely to result in an inquiry under S.124 of the Social Services and Well-being (Wales) Act 2014 than the provision of assistance using a domestic abuse support framework, including access to civil and criminal justice options.</w:t>
      </w:r>
      <w:r>
        <w:rPr>
          <w:color w:val="231F20"/>
          <w:position w:val="7"/>
          <w:sz w:val="13"/>
        </w:rPr>
        <w:t>19 </w:t>
      </w:r>
      <w:r>
        <w:rPr>
          <w:color w:val="231F20"/>
        </w:rPr>
        <w:t>The resulting under-recording of domestic abuse experienced by older people requires attention.</w:t>
      </w:r>
    </w:p>
    <w:p>
      <w:pPr>
        <w:pStyle w:val="BodyText"/>
        <w:spacing w:before="6"/>
        <w:rPr>
          <w:sz w:val="21"/>
        </w:rPr>
      </w:pPr>
    </w:p>
    <w:p>
      <w:pPr>
        <w:pStyle w:val="BodyText"/>
        <w:spacing w:line="230" w:lineRule="auto"/>
        <w:ind w:left="1239" w:right="577"/>
      </w:pPr>
      <w:r>
        <w:rPr>
          <w:color w:val="231F20"/>
        </w:rPr>
        <w:t>There are examples of learning from distressing events in the 2017-18 Annual Reports which were absent last year. For example, Cwm Taf reported its error in removing an elderly woman with dementia from her family home due to her “unexplained bruising” and that the decision to do so was premised on professionals’ flawed understanding of the law; North Wales described its investment in improvement work with Ysbyty Glan Clwyd/ Betsi Cadwaladr University Health Board, and specifically, its work with another failing Mental Health Unit at this hospital; and Mid and West Wales’ commitment to challenge stakeholders “to improve outcomes for people” arose from the shortfalls of Powys’ children’s services – exacerbated by “a high and rapid turnover” of senior staff plus a new Information Technology system which has prevented Powys from sharing data.</w:t>
      </w:r>
    </w:p>
    <w:p>
      <w:pPr>
        <w:pStyle w:val="BodyText"/>
        <w:spacing w:before="7"/>
        <w:rPr>
          <w:sz w:val="21"/>
        </w:rPr>
      </w:pPr>
    </w:p>
    <w:p>
      <w:pPr>
        <w:pStyle w:val="BodyText"/>
        <w:spacing w:line="230" w:lineRule="auto"/>
        <w:ind w:left="1239" w:right="734"/>
      </w:pPr>
      <w:r>
        <w:rPr>
          <w:color w:val="231F20"/>
        </w:rPr>
        <w:t>Generally, the annual reports contain too many acronyms, jargon and unexplained terms for general public readership. For example, “Bronze officers, MASE, CEF, SARC, Bedfordshire Action Plan, PRAMS service, PRMG, a high SERAF score and UNCRC.” Attention to proof reading and feedback from potential audiences should eliminate acronyms and jargon in all published material.</w:t>
      </w:r>
    </w:p>
    <w:p>
      <w:pPr>
        <w:spacing w:line="232" w:lineRule="auto" w:before="168"/>
        <w:ind w:left="1439" w:right="445" w:hanging="200"/>
        <w:jc w:val="left"/>
        <w:rPr>
          <w:sz w:val="14"/>
        </w:rPr>
      </w:pPr>
      <w:r>
        <w:rPr>
          <w:color w:val="231F20"/>
          <w:sz w:val="14"/>
        </w:rPr>
        <w:t>19 Wydall, S., Clarke, A., Williams, J. and Zerk, R. (2018) Domestic Abuse and Elder Abuse in Wales: A Tale of Two Initiatives </w:t>
      </w:r>
      <w:r>
        <w:rPr>
          <w:rFonts w:ascii="Avenir-BookOblique"/>
          <w:i/>
          <w:color w:val="231F20"/>
          <w:sz w:val="14"/>
        </w:rPr>
        <w:t>British Journal of Social Work </w:t>
      </w:r>
      <w:r>
        <w:rPr>
          <w:color w:val="231F20"/>
          <w:sz w:val="14"/>
        </w:rPr>
        <w:t>(48) 962-981</w:t>
      </w:r>
    </w:p>
    <w:p>
      <w:pPr>
        <w:spacing w:after="0" w:line="232" w:lineRule="auto"/>
        <w:jc w:val="left"/>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34976" filled="true" fillcolor="#f99d2c" stroked="false">
            <v:fill type="solid"/>
            <w10:wrap type="none"/>
          </v:rect>
        </w:pict>
      </w:r>
      <w:r>
        <w:rPr/>
        <w:pict>
          <v:shape style="position:absolute;margin-left:573.765198pt;margin-top:198.732712pt;width:15.7pt;height:444.45pt;mso-position-horizontal-relative:page;mso-position-vertical-relative:page;z-index:15936000" type="#_x0000_t202" filled="false" stroked="false">
            <v:textbox inset="0,0,0,0" style="layout-flow:vertical">
              <w:txbxContent>
                <w:p>
                  <w:pPr>
                    <w:spacing w:before="20"/>
                    <w:ind w:left="20" w:right="0" w:firstLine="0"/>
                    <w:jc w:val="left"/>
                    <w:rPr>
                      <w:sz w:val="20"/>
                    </w:rPr>
                  </w:pPr>
                  <w:r>
                    <w:rPr>
                      <w:color w:val="FFFFFF"/>
                      <w:sz w:val="20"/>
                    </w:rPr>
                    <w:t>Making recommendations to the Welsh Ministers as to how these arrangements could be improved</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Annual Report 2017-18</w:t>
        <w:tab/>
        <w:t>61</w:t>
      </w:r>
    </w:p>
    <w:p>
      <w:pPr>
        <w:pStyle w:val="BodyText"/>
        <w:rPr>
          <w:sz w:val="30"/>
        </w:rPr>
      </w:pPr>
    </w:p>
    <w:p>
      <w:pPr>
        <w:pStyle w:val="BodyText"/>
        <w:rPr>
          <w:sz w:val="30"/>
        </w:rPr>
      </w:pPr>
    </w:p>
    <w:p>
      <w:pPr>
        <w:pStyle w:val="BodyText"/>
        <w:spacing w:before="13"/>
        <w:rPr>
          <w:sz w:val="36"/>
        </w:rPr>
      </w:pPr>
    </w:p>
    <w:p>
      <w:pPr>
        <w:pStyle w:val="BodyText"/>
        <w:spacing w:line="230" w:lineRule="auto"/>
        <w:ind w:left="643" w:right="979"/>
      </w:pPr>
      <w:r>
        <w:rPr/>
        <w:pict>
          <v:group style="position:absolute;margin-left:32.189999pt;margin-top:-17.448523pt;width:512.7pt;height:714.7pt;mso-position-horizontal-relative:page;mso-position-vertical-relative:paragraph;z-index:-17641472" coordorigin="644,-349" coordsize="10254,14294">
            <v:rect style="position:absolute;left:673;top:-319;width:10224;height:14264" filled="true" fillcolor="#231f20" stroked="false">
              <v:fill opacity="26214f" type="solid"/>
            </v:rect>
            <v:rect style="position:absolute;left:646;top:-347;width:10003;height:14041" filled="true" fillcolor="#fdfaf0" stroked="false">
              <v:fill type="solid"/>
            </v:rect>
            <v:rect style="position:absolute;left:646;top:-347;width:10003;height:14041" filled="false" stroked="true" strokeweight=".25pt" strokecolor="#231f20">
              <v:stroke dashstyle="solid"/>
            </v:rect>
            <w10:wrap type="none"/>
          </v:group>
        </w:pict>
      </w:r>
      <w:r>
        <w:rPr>
          <w:color w:val="231F20"/>
        </w:rPr>
        <w:t>Highlighting the connection between the Board’s annual plans and outcomes for children, young people and adults is important even though it is not easy. The Regional Boards remain very focused on sorting out their structures, supports and terms of reference for example.</w:t>
      </w:r>
    </w:p>
    <w:p>
      <w:pPr>
        <w:pStyle w:val="BodyText"/>
        <w:spacing w:line="230" w:lineRule="auto"/>
        <w:ind w:left="643" w:right="1262"/>
      </w:pPr>
      <w:r>
        <w:rPr>
          <w:color w:val="231F20"/>
        </w:rPr>
        <w:t>Steps are being made but it is up to the reader to guess what the destination/ long term scope is. There is merit in setting out the improvements made – as well as the setbacks – the outcomes for children, young people and adults, and the remaining tasks. For example, Mid and West Wales noted that “Further work will be undertaken in the coming year…to ensure [that] information captured is multi-agency as opposed to being overly reliant on social care information.”</w:t>
      </w:r>
    </w:p>
    <w:p>
      <w:pPr>
        <w:pStyle w:val="BodyText"/>
        <w:spacing w:before="12"/>
        <w:rPr>
          <w:sz w:val="21"/>
        </w:rPr>
      </w:pPr>
    </w:p>
    <w:p>
      <w:pPr>
        <w:pStyle w:val="Heading2"/>
        <w:spacing w:line="189" w:lineRule="auto"/>
        <w:ind w:left="643" w:right="1063"/>
      </w:pPr>
      <w:r>
        <w:rPr>
          <w:color w:val="231F20"/>
        </w:rPr>
        <w:t>We recommend that all Regional Boards report on how their plans and work programmes result in improved outcomes for individuals/ families; for the individuals alleged to be responsible for the harm; for the service; and for the commissioning bodies.</w:t>
      </w:r>
    </w:p>
    <w:p>
      <w:pPr>
        <w:spacing w:line="230" w:lineRule="auto" w:before="276"/>
        <w:ind w:left="643" w:right="979" w:firstLine="0"/>
        <w:jc w:val="left"/>
        <w:rPr>
          <w:sz w:val="22"/>
        </w:rPr>
      </w:pPr>
      <w:r>
        <w:rPr>
          <w:color w:val="231F20"/>
          <w:sz w:val="22"/>
        </w:rPr>
        <w:t>The National Board held back from recommending to Welsh Ministers that Health Boards credibly engage with Regional Safeguarding Boards prior to commissioning independent reviews which hinge on harm to patients, in favour of proposing a way of exploring a credible alignment with the purpose of Practice Reviews, that is, </w:t>
      </w:r>
      <w:r>
        <w:rPr>
          <w:rFonts w:ascii="Avenir" w:hAnsi="Avenir"/>
          <w:i/>
          <w:color w:val="231F20"/>
          <w:sz w:val="22"/>
        </w:rPr>
        <w:t>to identify any steps that can be taken by Safeguarding Board partners or any other bodies to achieve improvements in multi-agency child and adult protection practice </w:t>
      </w:r>
      <w:r>
        <w:rPr>
          <w:color w:val="231F20"/>
          <w:sz w:val="22"/>
        </w:rPr>
        <w:t>(Regulations 4</w:t>
      </w:r>
      <w:r>
        <w:rPr>
          <w:rFonts w:ascii="Avenir" w:hAnsi="Avenir"/>
          <w:i/>
          <w:color w:val="231F20"/>
          <w:sz w:val="22"/>
        </w:rPr>
        <w:t>. </w:t>
      </w:r>
      <w:r>
        <w:rPr>
          <w:color w:val="231F20"/>
          <w:sz w:val="22"/>
        </w:rPr>
        <w:t>(2)). We believe there is merit in leadership across health and social care in Wales undertaking a “Think twice if…” exercise to understand precisely the impacts of freestanding reviews on the individuals concerned, their relatives, practitioners across sectors and Regional Safeguarding Board areas.</w:t>
      </w:r>
    </w:p>
    <w:p>
      <w:pPr>
        <w:pStyle w:val="BodyText"/>
        <w:spacing w:before="6"/>
        <w:rPr>
          <w:sz w:val="21"/>
        </w:rPr>
      </w:pPr>
    </w:p>
    <w:p>
      <w:pPr>
        <w:pStyle w:val="BodyText"/>
        <w:spacing w:line="230" w:lineRule="auto"/>
        <w:ind w:left="643" w:right="1327"/>
      </w:pPr>
      <w:r>
        <w:rPr>
          <w:color w:val="231F20"/>
        </w:rPr>
        <w:t>From the National </w:t>
      </w:r>
      <w:r>
        <w:rPr>
          <w:color w:val="231F20"/>
          <w:spacing w:val="-5"/>
        </w:rPr>
        <w:t>Board’s </w:t>
      </w:r>
      <w:r>
        <w:rPr>
          <w:color w:val="231F20"/>
        </w:rPr>
        <w:t>perspective, it is disappointing that the the gap in the regulations concerning the ownership of all documentation about safeguarding reviews has not been addressed. Eighteen months ago we recommended that Welsh Ministers deal with the confusion concerning the governance of the reviewing process. Permission to begin this work was received during September 2018. Also, we highlighted the paucity of provision for children who are known to </w:t>
      </w:r>
      <w:r>
        <w:rPr>
          <w:color w:val="231F20"/>
          <w:spacing w:val="-3"/>
        </w:rPr>
        <w:t>children’s </w:t>
      </w:r>
      <w:r>
        <w:rPr>
          <w:color w:val="231F20"/>
        </w:rPr>
        <w:t>mental health and youth offending services as a matter requiring urgent Ministerial attention. Although it is now easier for these young people to be placed in secure services in England, we hope that Ministers will pay continuing attention to the circumstances that bring forth such placements – and to the human and legal costs</w:t>
      </w:r>
      <w:r>
        <w:rPr>
          <w:color w:val="231F20"/>
          <w:spacing w:val="-4"/>
        </w:rPr>
        <w:t> </w:t>
      </w:r>
      <w:r>
        <w:rPr>
          <w:color w:val="231F20"/>
        </w:rPr>
        <w:t>of</w:t>
      </w:r>
    </w:p>
    <w:p>
      <w:pPr>
        <w:pStyle w:val="BodyText"/>
        <w:spacing w:line="230" w:lineRule="auto" w:before="2"/>
        <w:ind w:left="643" w:right="734"/>
      </w:pPr>
      <w:r>
        <w:rPr>
          <w:color w:val="231F20"/>
        </w:rPr>
        <w:t>Health Boards failing to identify the treatment services that young people require. We are not assured that the new rental market in specialist units, including “pop-up” support, for </w:t>
      </w:r>
      <w:r>
        <w:rPr>
          <w:color w:val="231F20"/>
          <w:spacing w:val="-3"/>
        </w:rPr>
        <w:t>example, </w:t>
      </w:r>
      <w:r>
        <w:rPr>
          <w:color w:val="231F20"/>
        </w:rPr>
        <w:t>addresses the shameful practice of sending Welsh children and young people to other</w:t>
      </w:r>
      <w:r>
        <w:rPr>
          <w:color w:val="231F20"/>
          <w:spacing w:val="-9"/>
        </w:rPr>
        <w:t> </w:t>
      </w:r>
      <w:r>
        <w:rPr>
          <w:color w:val="231F20"/>
        </w:rPr>
        <w:t>parts</w:t>
      </w:r>
    </w:p>
    <w:p>
      <w:pPr>
        <w:pStyle w:val="BodyText"/>
        <w:spacing w:line="230" w:lineRule="auto"/>
        <w:ind w:left="643" w:right="1382"/>
      </w:pPr>
      <w:r>
        <w:rPr>
          <w:color w:val="231F20"/>
        </w:rPr>
        <w:t>of the UK. We speculate that the spike in applications to the High Court masks the failure </w:t>
      </w:r>
      <w:r>
        <w:rPr>
          <w:color w:val="231F20"/>
          <w:spacing w:val="-9"/>
        </w:rPr>
        <w:t>to </w:t>
      </w:r>
      <w:r>
        <w:rPr>
          <w:color w:val="231F20"/>
        </w:rPr>
        <w:t>provide sufficient mental health</w:t>
      </w:r>
      <w:r>
        <w:rPr>
          <w:color w:val="231F20"/>
          <w:spacing w:val="-1"/>
        </w:rPr>
        <w:t> </w:t>
      </w:r>
      <w:r>
        <w:rPr>
          <w:color w:val="231F20"/>
        </w:rPr>
        <w:t>treatment.</w:t>
      </w:r>
    </w:p>
    <w:p>
      <w:pPr>
        <w:pStyle w:val="BodyText"/>
        <w:spacing w:before="11"/>
        <w:rPr>
          <w:sz w:val="21"/>
        </w:rPr>
      </w:pPr>
    </w:p>
    <w:p>
      <w:pPr>
        <w:pStyle w:val="Heading2"/>
        <w:spacing w:line="189" w:lineRule="auto"/>
        <w:ind w:left="643" w:right="1181"/>
      </w:pPr>
      <w:r>
        <w:rPr>
          <w:color w:val="231F20"/>
          <w:spacing w:val="-3"/>
        </w:rPr>
        <w:t>We </w:t>
      </w:r>
      <w:r>
        <w:rPr>
          <w:color w:val="231F20"/>
        </w:rPr>
        <w:t>recommend that the Welsh Government routinely advises the National Board of the applications it has made to the High Court asking it to exercise its ‘inherent</w:t>
      </w:r>
      <w:r>
        <w:rPr>
          <w:color w:val="231F20"/>
          <w:spacing w:val="-1"/>
        </w:rPr>
        <w:t> </w:t>
      </w:r>
      <w:r>
        <w:rPr>
          <w:color w:val="231F20"/>
        </w:rPr>
        <w:t>jurisdiction.’</w:t>
      </w:r>
    </w:p>
    <w:p>
      <w:pPr>
        <w:pStyle w:val="BodyText"/>
        <w:spacing w:line="286" w:lineRule="exact" w:before="268"/>
        <w:ind w:left="643"/>
      </w:pPr>
      <w:r>
        <w:rPr>
          <w:color w:val="231F20"/>
        </w:rPr>
        <w:t>Introducing a National Independent Safeguarding Board into the complex worlds</w:t>
      </w:r>
    </w:p>
    <w:p>
      <w:pPr>
        <w:pStyle w:val="BodyText"/>
        <w:spacing w:line="230" w:lineRule="auto" w:before="3"/>
        <w:ind w:left="643" w:right="1262"/>
      </w:pPr>
      <w:r>
        <w:rPr>
          <w:color w:val="231F20"/>
        </w:rPr>
        <w:t>of safeguarding children and adults was bound to require adjustment and mutual accommodation. It has been a means of introducing fresh thinking about the gains and challenges of safeguarding practice.</w:t>
      </w:r>
    </w:p>
    <w:p>
      <w:pPr>
        <w:spacing w:after="0" w:line="230" w:lineRule="auto"/>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40448" filled="true" fillcolor="#f99d2c" stroked="false">
            <v:fill type="solid"/>
            <w10:wrap type="none"/>
          </v:rect>
        </w:pict>
      </w:r>
    </w:p>
    <w:p>
      <w:pPr>
        <w:pStyle w:val="BodyText"/>
        <w:spacing w:before="6"/>
      </w:pPr>
    </w:p>
    <w:p>
      <w:pPr>
        <w:tabs>
          <w:tab w:pos="7398" w:val="left" w:leader="none"/>
        </w:tabs>
        <w:spacing w:before="100"/>
        <w:ind w:left="927" w:right="0" w:firstLine="0"/>
        <w:jc w:val="left"/>
        <w:rPr>
          <w:sz w:val="16"/>
        </w:rPr>
      </w:pPr>
      <w:r>
        <w:rPr>
          <w:color w:val="231F20"/>
          <w:sz w:val="16"/>
        </w:rPr>
        <w:t>62</w:t>
        <w:tab/>
        <w:t>National Independent Safeguarding Board</w:t>
      </w:r>
      <w:r>
        <w:rPr>
          <w:color w:val="231F20"/>
          <w:spacing w:val="-8"/>
          <w:sz w:val="16"/>
        </w:rPr>
        <w:t> </w:t>
      </w:r>
      <w:r>
        <w:rPr>
          <w:color w:val="231F20"/>
          <w:sz w:val="16"/>
        </w:rPr>
        <w:t>Wales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30" w:lineRule="auto" w:before="253"/>
        <w:ind w:left="1295" w:right="1205"/>
      </w:pPr>
      <w:r>
        <w:rPr/>
        <w:pict>
          <v:group style="position:absolute;margin-left:61.623001pt;margin-top:-6.21582pt;width:512.7pt;height:714.7pt;mso-position-horizontal-relative:page;mso-position-vertical-relative:paragraph;z-index:-17639936" coordorigin="1232,-124" coordsize="10254,14294">
            <v:rect style="position:absolute;left:1262;top:-95;width:10224;height:14264" filled="true" fillcolor="#231f20" stroked="false">
              <v:fill opacity="26214f" type="solid"/>
            </v:rect>
            <v:rect style="position:absolute;left:1234;top:-122;width:10003;height:14041" filled="true" fillcolor="#fdfaf0" stroked="false">
              <v:fill type="solid"/>
            </v:rect>
            <v:rect style="position:absolute;left:1234;top:-122;width:10003;height:14041" filled="false" stroked="true" strokeweight=".25pt" strokecolor="#231f20">
              <v:stroke dashstyle="solid"/>
            </v:rect>
            <w10:wrap type="none"/>
          </v:group>
        </w:pict>
      </w:r>
      <w:r>
        <w:rPr>
          <w:color w:val="231F20"/>
        </w:rPr>
        <w:t>The National Board had a significant part to play in bringing the Regional Board Chairs together to share insights into their challenges and our relationships with the Chairs, the Regional Boards and the Welsh Government have matured and it is pleasing that</w:t>
      </w:r>
    </w:p>
    <w:p>
      <w:pPr>
        <w:pStyle w:val="BodyText"/>
        <w:spacing w:line="230" w:lineRule="auto" w:before="1"/>
        <w:ind w:left="1295" w:right="666"/>
        <w:jc w:val="both"/>
      </w:pPr>
      <w:r>
        <w:rPr>
          <w:color w:val="231F20"/>
        </w:rPr>
        <w:t>developments are taking place which bear the National </w:t>
      </w:r>
      <w:r>
        <w:rPr>
          <w:color w:val="231F20"/>
          <w:spacing w:val="-5"/>
        </w:rPr>
        <w:t>Board’s </w:t>
      </w:r>
      <w:r>
        <w:rPr>
          <w:color w:val="231F20"/>
        </w:rPr>
        <w:t>fingerprints. </w:t>
      </w:r>
      <w:r>
        <w:rPr>
          <w:color w:val="231F20"/>
          <w:spacing w:val="-3"/>
        </w:rPr>
        <w:t>However, </w:t>
      </w:r>
      <w:r>
        <w:rPr>
          <w:color w:val="231F20"/>
        </w:rPr>
        <w:t>only </w:t>
      </w:r>
      <w:r>
        <w:rPr>
          <w:color w:val="231F20"/>
          <w:spacing w:val="-16"/>
        </w:rPr>
        <w:t>a </w:t>
      </w:r>
      <w:r>
        <w:rPr>
          <w:color w:val="231F20"/>
        </w:rPr>
        <w:t>partial view of the status of safeguarding in Wales is possible because there is no single data set that enables comparison. The Regional Boards are not required to set out referral data</w:t>
      </w:r>
    </w:p>
    <w:p>
      <w:pPr>
        <w:pStyle w:val="BodyText"/>
        <w:spacing w:line="230" w:lineRule="auto"/>
        <w:ind w:left="1295" w:right="445"/>
      </w:pPr>
      <w:r>
        <w:rPr/>
        <w:pict>
          <v:shape style="position:absolute;margin-left:7.0315pt;margin-top:4.449780pt;width:15.7pt;height:444.45pt;mso-position-horizontal-relative:page;mso-position-vertical-relative:paragraph;z-index:-17639424" type="#_x0000_t202" filled="false" stroked="false">
            <v:textbox inset="0,0,0,0" style="layout-flow:vertical;mso-layout-flow-alt:bottom-to-top">
              <w:txbxContent>
                <w:p>
                  <w:pPr>
                    <w:spacing w:before="20"/>
                    <w:ind w:left="20" w:right="0" w:firstLine="0"/>
                    <w:jc w:val="left"/>
                    <w:rPr>
                      <w:sz w:val="20"/>
                    </w:rPr>
                  </w:pPr>
                  <w:r>
                    <w:rPr>
                      <w:color w:val="FFFFFF"/>
                      <w:sz w:val="20"/>
                    </w:rPr>
                    <w:t>Making recommendations to the Welsh Ministers as to how these arrangements could be improved</w:t>
                  </w:r>
                </w:p>
              </w:txbxContent>
            </v:textbox>
            <w10:wrap type="none"/>
          </v:shape>
        </w:pict>
      </w:r>
      <w:r>
        <w:rPr>
          <w:color w:val="231F20"/>
        </w:rPr>
        <w:t>in their annual reports – although Cardiff and Vale, Cwm Taf and Mid and West Wales do so. Cardiff and Vale and Cwm Taf report on the number and progress of Child/ Adult Practice Reviews; North Wales reports on the numbers of nursing and residential homes in “Escalating Concerns;” Cwm Taf and Western Bay reports the referrals arising from the Welsh Ambulance Service Trust; Gwent lists course titles, the number of sessions and attendees; and Cwm</w:t>
      </w:r>
    </w:p>
    <w:p>
      <w:pPr>
        <w:pStyle w:val="BodyText"/>
        <w:spacing w:line="278" w:lineRule="exact"/>
        <w:ind w:left="1295"/>
      </w:pPr>
      <w:r>
        <w:rPr>
          <w:color w:val="231F20"/>
        </w:rPr>
        <w:t>Taf reports the Deprivation of Liberty Safeguard assessments undertaken and those on its</w:t>
      </w:r>
    </w:p>
    <w:p>
      <w:pPr>
        <w:pStyle w:val="BodyText"/>
        <w:spacing w:line="286" w:lineRule="exact"/>
        <w:ind w:left="1295"/>
      </w:pPr>
      <w:r>
        <w:rPr>
          <w:color w:val="231F20"/>
        </w:rPr>
        <w:t>“waiting list.”</w:t>
      </w:r>
    </w:p>
    <w:p>
      <w:pPr>
        <w:pStyle w:val="BodyText"/>
        <w:spacing w:before="8"/>
        <w:rPr>
          <w:sz w:val="21"/>
        </w:rPr>
      </w:pPr>
    </w:p>
    <w:p>
      <w:pPr>
        <w:pStyle w:val="Heading2"/>
        <w:spacing w:line="189" w:lineRule="auto"/>
        <w:ind w:left="1295"/>
      </w:pPr>
      <w:r>
        <w:rPr>
          <w:color w:val="231F20"/>
        </w:rPr>
        <w:t>We recommend that the Regional Boards, the National Board and the Welsh Government identify and agree five measures which reveal something of the adequacy and effectiveness of safeguarding arrangements</w:t>
      </w:r>
    </w:p>
    <w:p>
      <w:pPr>
        <w:pStyle w:val="BodyText"/>
        <w:spacing w:line="230" w:lineRule="auto" w:before="276"/>
        <w:ind w:left="1295" w:right="635"/>
      </w:pPr>
      <w:r>
        <w:rPr>
          <w:color w:val="231F20"/>
        </w:rPr>
        <w:t>The work ahead includes attention to safeguarding “data;” Regional Boards’ assuming intrinsic responsibility for challenging each and all members to experience directly the consequences of their decision-making; prioritising a consistent training framework with specific standards; promoting the valuable and inspiring work of practitioners; making visible the invisible home educated children and young people; building on the excellent work of Amanda Robinson and colleagues in “pooling learning;” accessing the ideas and expertise of the Heads of Inspection Group which brings together the inspectorates with responsibility for </w:t>
      </w:r>
      <w:r>
        <w:rPr>
          <w:color w:val="231F20"/>
          <w:spacing w:val="-3"/>
        </w:rPr>
        <w:t>children’s </w:t>
      </w:r>
      <w:r>
        <w:rPr>
          <w:color w:val="231F20"/>
        </w:rPr>
        <w:t>and adults’ services, most particularly concerning public value audits of multi- agency safeguarding boards; greater attention to the participation of children, young </w:t>
      </w:r>
      <w:r>
        <w:rPr>
          <w:color w:val="231F20"/>
          <w:spacing w:val="-3"/>
        </w:rPr>
        <w:t>people </w:t>
      </w:r>
      <w:r>
        <w:rPr>
          <w:color w:val="231F20"/>
        </w:rPr>
        <w:t>and adults in shaping the Boards’ priorities – and paying particular attention to the</w:t>
      </w:r>
      <w:r>
        <w:rPr>
          <w:color w:val="231F20"/>
          <w:spacing w:val="-3"/>
        </w:rPr>
        <w:t> </w:t>
      </w:r>
      <w:r>
        <w:rPr>
          <w:color w:val="231F20"/>
        </w:rPr>
        <w:t>voices</w:t>
      </w:r>
    </w:p>
    <w:p>
      <w:pPr>
        <w:pStyle w:val="BodyText"/>
        <w:spacing w:line="230" w:lineRule="auto" w:before="1"/>
        <w:ind w:left="1295" w:right="445"/>
      </w:pPr>
      <w:r>
        <w:rPr>
          <w:color w:val="231F20"/>
        </w:rPr>
        <w:t>of those who are vulnerable to being excluded – the young people and adults with mental health problems, those with learning disabilities and those with sensory losses; and seeking Disclosure and Barring Service consistency across social care, health care and education in Wales. Regular Ministerial meetings would provide assurance that Regional Boards are making different dents in the obstacles to undertaking and tracking effective safeguarding practice.</w:t>
      </w:r>
    </w:p>
    <w:p>
      <w:pPr>
        <w:pStyle w:val="BodyText"/>
        <w:spacing w:before="6"/>
        <w:rPr>
          <w:sz w:val="21"/>
        </w:rPr>
      </w:pPr>
    </w:p>
    <w:p>
      <w:pPr>
        <w:pStyle w:val="BodyText"/>
        <w:spacing w:line="230" w:lineRule="auto"/>
        <w:ind w:left="1295" w:right="674"/>
      </w:pPr>
      <w:r>
        <w:rPr>
          <w:color w:val="231F20"/>
        </w:rPr>
        <w:t>It is tenacious practitioners across professions and sectors whose work is inspiring - even if their efforts do not always succeed. They make things right as often as they can and turn the instinctive care we have for each other into something which promises a hopeful future.</w:t>
      </w:r>
    </w:p>
    <w:p>
      <w:pPr>
        <w:pStyle w:val="BodyText"/>
        <w:spacing w:before="6"/>
        <w:rPr>
          <w:sz w:val="21"/>
        </w:rPr>
      </w:pPr>
    </w:p>
    <w:p>
      <w:pPr>
        <w:pStyle w:val="BodyText"/>
        <w:spacing w:line="230" w:lineRule="auto"/>
        <w:ind w:left="1295" w:right="659"/>
      </w:pPr>
      <w:r>
        <w:rPr>
          <w:color w:val="231F20"/>
        </w:rPr>
        <w:t>Finally, we have very much enjoyed working together – united in our determination to use the best of our ability and means at our disposal to harmonise our work programme with the interests of the Regional Boards. Although it is for others to judge our success, we believe that we have established the National Board as a valuable addition to Wales’ safeguarding landscape – and we wish our successor Board every success.</w:t>
      </w:r>
    </w:p>
    <w:p>
      <w:pPr>
        <w:pStyle w:val="BodyText"/>
        <w:spacing w:before="10"/>
        <w:rPr>
          <w:sz w:val="20"/>
        </w:rPr>
      </w:pPr>
    </w:p>
    <w:p>
      <w:pPr>
        <w:pStyle w:val="Heading3"/>
        <w:spacing w:line="240" w:lineRule="auto"/>
        <w:ind w:left="1295"/>
      </w:pPr>
      <w:r>
        <w:rPr>
          <w:color w:val="231F20"/>
        </w:rPr>
        <w:t>Margaret Flynn, Keith Towler, Simon Burch, Ruth Henke, Jan Pickles and Rachel Shaw</w:t>
      </w:r>
    </w:p>
    <w:p>
      <w:pPr>
        <w:spacing w:after="0" w:line="240" w:lineRule="auto"/>
        <w:sectPr>
          <w:pgSz w:w="11910" w:h="16840"/>
          <w:pgMar w:top="0" w:bottom="0" w:left="320" w:right="560"/>
        </w:sectPr>
      </w:pPr>
    </w:p>
    <w:p>
      <w:pPr>
        <w:pStyle w:val="BodyText"/>
        <w:spacing w:before="8"/>
        <w:rPr>
          <w:rFonts w:ascii="Avenir"/>
          <w:b/>
          <w:sz w:val="14"/>
        </w:rPr>
      </w:pPr>
      <w:r>
        <w:rPr/>
        <w:pict>
          <v:group style="position:absolute;margin-left:.0pt;margin-top:0pt;width:841.9pt;height:28.35pt;mso-position-horizontal-relative:page;mso-position-vertical-relative:page;z-index:-17638912" coordorigin="0,0" coordsize="16838,567">
            <v:rect style="position:absolute;left:0;top:0;width:16838;height:567" filled="true" fillcolor="#f99d2c" stroked="false">
              <v:fill type="solid"/>
            </v:rect>
            <v:shape style="position:absolute;left:0;top:0;width:16838;height:567" type="#_x0000_t202" filled="false" stroked="false">
              <v:textbox inset="0,0,0,0">
                <w:txbxContent>
                  <w:p>
                    <w:pPr>
                      <w:spacing w:before="137"/>
                      <w:ind w:left="3659" w:right="3659" w:firstLine="0"/>
                      <w:jc w:val="center"/>
                      <w:rPr>
                        <w:sz w:val="20"/>
                      </w:rPr>
                    </w:pPr>
                    <w:r>
                      <w:rPr>
                        <w:color w:val="FFFFFF"/>
                        <w:sz w:val="20"/>
                      </w:rPr>
                      <w:t>Making recommendations to the Welsh Ministers as to how these arrangements could be improved</w:t>
                    </w:r>
                  </w:p>
                </w:txbxContent>
              </v:textbox>
              <w10:wrap type="none"/>
            </v:shape>
            <w10:wrap type="none"/>
          </v:group>
        </w:pict>
      </w:r>
      <w:r>
        <w:rPr/>
        <w:pict>
          <v:shape style="position:absolute;margin-left:33.016014pt;margin-top:477.420288pt;width:12.95pt;height:84.85pt;mso-position-horizontal-relative:page;mso-position-vertical-relative:page;z-index:15938560" type="#_x0000_t202" filled="false" stroked="false">
            <v:textbox inset="0,0,0,0" style="layout-flow:vertical;mso-layout-flow-alt:bottom-to-top">
              <w:txbxContent>
                <w:p>
                  <w:pPr>
                    <w:spacing w:before="20"/>
                    <w:ind w:left="20" w:right="0" w:firstLine="0"/>
                    <w:jc w:val="left"/>
                    <w:rPr>
                      <w:sz w:val="16"/>
                    </w:rPr>
                  </w:pPr>
                  <w:r>
                    <w:rPr>
                      <w:color w:val="231F20"/>
                      <w:sz w:val="16"/>
                    </w:rPr>
                    <w:t>Annual Report 2017-18</w:t>
                  </w:r>
                </w:p>
              </w:txbxContent>
            </v:textbox>
            <w10:wrap type="none"/>
          </v:shape>
        </w:pict>
      </w:r>
      <w:r>
        <w:rPr/>
        <w:pict>
          <v:shape style="position:absolute;margin-left:33.016014pt;margin-top:61.362602pt;width:12.95pt;height:10.9pt;mso-position-horizontal-relative:page;mso-position-vertical-relative:page;z-index:15939072" type="#_x0000_t202" filled="false" stroked="false">
            <v:textbox inset="0,0,0,0" style="layout-flow:vertical;mso-layout-flow-alt:bottom-to-top">
              <w:txbxContent>
                <w:p>
                  <w:pPr>
                    <w:spacing w:before="20"/>
                    <w:ind w:left="20" w:right="0" w:firstLine="0"/>
                    <w:jc w:val="left"/>
                    <w:rPr>
                      <w:sz w:val="16"/>
                    </w:rPr>
                  </w:pPr>
                  <w:r>
                    <w:rPr>
                      <w:color w:val="231F20"/>
                      <w:sz w:val="16"/>
                    </w:rPr>
                    <w:t>63</w:t>
                  </w:r>
                </w:p>
              </w:txbxContent>
            </v:textbox>
            <w10:wrap type="none"/>
          </v:shape>
        </w:pict>
      </w:r>
    </w:p>
    <w:p>
      <w:pPr>
        <w:spacing w:after="0"/>
        <w:rPr>
          <w:rFonts w:ascii="Avenir"/>
          <w:sz w:val="14"/>
        </w:rPr>
        <w:sectPr>
          <w:pgSz w:w="16840" w:h="11910" w:orient="landscape"/>
          <w:pgMar w:top="0" w:bottom="280" w:left="2420" w:right="2420"/>
        </w:sectPr>
      </w:pPr>
    </w:p>
    <w:p>
      <w:pPr>
        <w:pStyle w:val="BodyText"/>
        <w:rPr>
          <w:rFonts w:ascii="Avenir"/>
          <w:b/>
          <w:sz w:val="20"/>
        </w:rPr>
      </w:pPr>
      <w:r>
        <w:rPr/>
        <w:pict>
          <v:group style="position:absolute;margin-left:.000016pt;margin-top:.000075pt;width:595.3pt;height:841.9pt;mso-position-horizontal-relative:page;mso-position-vertical-relative:page;z-index:-17637376" coordorigin="0,0" coordsize="11906,16838">
            <v:shape style="position:absolute;left:0;top:0;width:11906;height:16838" type="#_x0000_t75" stroked="false">
              <v:imagedata r:id="rId5" o:title=""/>
            </v:shape>
            <v:shape style="position:absolute;left:3688;top:5371;width:8218;height:11467" coordorigin="3688,5372" coordsize="8218,11467" path="m8993,11738l8785,11589,8216,11261,7373,10933,6341,10784,5475,10798,4910,10903,4397,11186,3688,11738,3896,11887,4465,12215,5308,12543,6341,12692,7206,12677,7771,12573,8284,12290,8993,11738xm9304,12488l9051,12530,8417,12700,7589,13064,6753,13689,6152,14312,5826,14785,5664,15348,5553,16239,5805,16197,6439,16027,7268,15663,8103,15039,8705,14416,9030,13943,9192,13380,9304,12488xm9304,10987l9262,10735,9092,10101,8728,9273,8103,8437,7481,7836,7007,7510,6444,7348,5553,7236,5595,7489,5765,8123,6129,8951,6753,9787,7376,10388,7849,10714,8412,10876,9304,10987xm11009,15452l10859,14419,10531,13576,10203,13007,10054,12799,9502,13508,9219,14021,9115,14586,9100,15452,9249,16484,9387,16838,10897,16838,10994,16317,11009,15452xm11009,8024l10859,6992,10531,6149,10203,5580,10054,5372,9502,6081,9219,6594,9115,7159,9100,8024,9249,9057,9577,9900,9905,10468,10054,10677,10606,9967,10889,9454,10994,8890,11009,8024xm11906,12660l11696,12600,10805,12488,10847,12741,11017,13375,11381,14203,11906,14905,11906,12660xm11906,11142l11825,11186,11115,11738,11324,11887,11892,12215,11906,12220,11906,11142xm11906,8540l11404,9060,11078,9533,10916,10096,10805,10987,11057,10946,11691,10776,11906,10681,11906,8540xe" filled="true" fillcolor="#f99d2c" stroked="false">
              <v:path arrowok="t"/>
              <v:fill type="solid"/>
            </v:shape>
            <v:rect style="position:absolute;left:8414;top:9852;width:3394;height:4286" filled="true" fillcolor="#d5583b" stroked="false">
              <v:fill type="solid"/>
            </v:rect>
            <v:shape style="position:absolute;left:7135;top:9436;width:4771;height:5106" coordorigin="7135,9436" coordsize="4771,5106" path="m7900,10703l7549,10704,7458,10708,7380,10723,7313,10747,7257,10780,7213,10825,7178,10879,7154,10945,7140,11023,7136,11111,7135,13324,7136,13753,7139,13834,7148,13912,7164,13986,7186,14057,7213,14123,7246,14186,7284,14244,7327,14297,7375,14346,7428,14390,7485,14428,7547,14461,7613,14489,7683,14511,7756,14527,7833,14537,7914,14540,9663,14542,11454,14540,11537,14537,11615,14527,11690,14511,11761,14490,11828,14462,11890,14429,11906,14419,11906,13871,10183,13871,8636,13870,8636,13869,7883,13869,7851,13865,7826,13852,7809,13824,7803,13779,7802,13703,7801,13627,7801,13551,7801,13399,7801,13324,7802,13141,7802,11382,8636,11382,8636,10703,7972,10703,7900,10703xm11906,10116l11573,10116,11573,10121,11573,10126,11573,13726,11569,13809,11551,13852,11513,13868,11447,13870,10183,13871,11906,13871,11906,10116xm8636,11382l7971,11382,7972,11391,7972,11400,7972,11808,7972,13106,7972,13741,7972,13762,7972,13772,7971,13782,7962,13826,7945,13853,7919,13865,7883,13869,8636,13869,8636,11382xm10375,9436l8379,9437,8288,9441,8210,9455,8144,9477,8089,9511,8046,9554,8013,9609,7990,9676,7977,9755,7972,9846,7972,10703,8636,10703,8636,10116,11906,10116,11906,9440,11837,9437,10375,9436xe" filled="true" fillcolor="#ffffff" stroked="false">
              <v:path arrowok="t"/>
              <v:fill type="solid"/>
            </v:shape>
            <v:shape style="position:absolute;left:7034;top:9335;width:4871;height:5307" coordorigin="7035,9336" coordsize="4871,5307" path="m7742,10603l7548,10603,7466,10607,7390,10618,7322,10635,7262,10660,7208,10691,7162,10730,7123,10776,7091,10829,7067,10888,7049,10956,7039,11030,7035,11111,7035,13088,7035,13461,7035,13726,7035,13758,7038,13835,7047,13914,7061,13990,7081,14063,7106,14132,7135,14197,7170,14259,7210,14316,7254,14370,7303,14419,7355,14463,7412,14503,7473,14539,7538,14569,7607,14594,7678,14614,7754,14628,7832,14637,7913,14640,9507,14643,11455,14641,11533,14638,11608,14630,11680,14617,11750,14598,11816,14576,11879,14548,11906,14534,11906,14442,9667,14442,7914,14440,7833,14436,7756,14425,7684,14408,7616,14384,7554,14353,7496,14317,7444,14275,7397,14227,7355,14174,7320,14115,7290,14052,7267,13984,7250,13911,7240,13834,7236,13753,7236,13221,7236,11111,7241,11022,7257,10950,7285,10894,7327,10853,7384,10825,7458,10809,7549,10804,8073,10804,8073,10603,7872,10603,7742,10603xm11906,14295l11878,14317,11819,14354,11756,14384,11688,14408,11614,14425,11536,14436,11454,14440,9667,14442,11906,14442,11906,14295xm11666,10016l8535,10016,8535,13964,8575,13968,8594,13970,8614,13971,10195,13971,11447,13971,11538,13963,11603,13938,11644,13893,11667,13823,11670,13770,10508,13770,8736,13770,8736,10216,11673,10216,11673,10130,11673,10101,11671,10072,11668,10043,11666,10016xm8065,11282l7701,11282,7701,13221,7701,13381,7700,13461,7700,13541,7701,13621,7701,13701,7703,13781,7716,13861,7752,13921,7809,13957,7883,13969,7888,13969,7963,13956,8019,13922,8054,13866,8071,13792,8072,13775,8073,13760,8073,13088,8073,11888,8072,11409,8072,11379,8070,11349,8067,11316,8065,11282xm11673,10216l11473,10216,11473,13381,11473,13739,11472,13750,11472,13760,11471,13769,11464,13769,11456,13770,10508,13770,11670,13770,11674,13726,11673,10216xm8073,10804l7742,10804,8073,10804,8073,10804xm10079,9336l8379,9336,8295,9340,8220,9350,8152,9366,8092,9390,8040,9421,7994,9459,7957,9504,7926,9557,7902,9618,7885,9686,7875,9762,7872,9846,7872,9925,7872,10603,8073,10603,8073,9925,8073,9846,8077,9754,8092,9680,8119,9624,8159,9583,8214,9557,8287,9542,8379,9537,11906,9537,11906,9340,11837,9336,10079,9336xm11906,9537l10079,9537,11837,9537,11906,9541,11906,9537xe" filled="true" fillcolor="#d5583b" stroked="false">
              <v:path arrowok="t"/>
              <v:fill type="solid"/>
            </v:shape>
            <v:shape style="position:absolute;left:10125;top:10431;width:1401;height:1750" coordorigin="10125,10432" coordsize="1401,1750" path="m11267,10432l10382,10432,10323,10436,10228,10470,10161,10538,10129,10633,10125,10690,10127,10776,10127,10862,10127,10948,10126,11301,10127,11662,10127,11838,10126,11925,10129,11983,10161,12078,10227,12144,10322,12178,10383,12182,10457,12181,10755,12180,11004,12180,11265,12182,11270,12182,11377,12165,11458,12116,11509,12035,11526,11927,11526,10690,11522,10633,11488,10538,11421,10471,11325,10436,11267,10432xe" filled="true" fillcolor="#ffffff" stroked="false">
              <v:path arrowok="t"/>
              <v:fill type="solid"/>
            </v:shape>
            <v:shape style="position:absolute;left:10025;top:10331;width:1602;height:1951" coordorigin="10025,10331" coordsize="1602,1951" path="m11297,12280l10828,12280,11270,12282,11297,12280xm10383,10331l10304,10338,10233,10356,10172,10387,10119,10430,10077,10483,10047,10544,10030,10614,10025,10692,10026,10777,10026,10842,10027,10995,10026,11071,10026,11210,10026,11379,10026,11536,10027,11692,10026,11770,10026,11836,10025,11924,10030,12002,10048,12072,10077,12133,10119,12185,10171,12228,10232,12258,10301,12276,10379,12282,11297,12280,11347,12276,11416,12258,11476,12229,11529,12187,11572,12135,11598,12081,11266,12081,10379,12081,10310,12072,10262,12044,10234,11996,10226,11927,10226,11924,10227,11848,10227,11770,10227,11536,10227,11379,10227,11210,10227,11071,10228,10995,10227,10842,10227,10765,10226,10689,10235,10618,10264,10569,10313,10541,10382,10532,11597,10532,11595,10526,11563,10470,11529,10430,11476,10387,11415,10356,11345,10338,11274,10332,10822,10332,10383,10331xm11597,10532l11267,10532,11337,10542,11386,10571,11416,10620,11426,10689,11426,11927,11416,11996,11388,12044,11339,12072,11270,12081,11598,12081,11602,12074,11620,12005,11627,11927,11627,10689,11618,10599,11597,10532xm10828,12079l10382,12081,11257,12081,10828,12079xm11257,10532l10382,10532,10896,10533,11257,10532xm11267,10331l10822,10332,11274,10332,11267,10331xe" filled="true" fillcolor="#d5583b" stroked="false">
              <v:path arrowok="t"/>
              <v:fill type="solid"/>
            </v:shape>
            <v:shape style="position:absolute;left:8938;top:10532;width:2272;height:2852" coordorigin="8939,10533" coordsize="2272,2852" path="m9832,13144l8939,13144,8939,13384,9832,13384,9832,13144xm9832,12491l8939,12491,8939,12731,9832,12731,9832,12491xm9832,11838l8939,11838,8939,12078,9832,12078,9832,11838xm9832,11186l8939,11186,8939,11426,9832,11426,9832,11186xm9832,10533l8939,10533,8939,10773,9832,10773,9832,10533xm11210,13144l10316,13144,10316,13384,11210,13384,11210,13144xm11210,12491l10316,12491,10316,12731,11210,12731,11210,12491xe" filled="true" fillcolor="#ffffff" stroked="false">
              <v:path arrowok="t"/>
              <v:fill type="solid"/>
            </v:shape>
            <v:shape style="position:absolute;left:1350;top:1901;width:344;height:948" type="#_x0000_t75" stroked="false">
              <v:imagedata r:id="rId64" o:title=""/>
            </v:shape>
            <v:shape style="position:absolute;left:377;top:566;width:2289;height:1954" type="#_x0000_t75" stroked="false">
              <v:imagedata r:id="rId65" o:title=""/>
            </v:shape>
            <v:rect style="position:absolute;left:2997;top:1678;width:4677;height:40" filled="true" fillcolor="#3b957d" stroked="false">
              <v:fill type="solid"/>
            </v:rect>
            <v:shape style="position:absolute;left:3005;top:763;width:226;height:260" type="#_x0000_t75" stroked="false">
              <v:imagedata r:id="rId66" o:title=""/>
            </v:shape>
            <v:shape style="position:absolute;left:3265;top:751;width:871;height:275" coordorigin="3265,751" coordsize="871,275" path="m3460,838l3405,838,3405,865,3405,930,3405,943,3403,953,3399,963,3394,970,3387,980,3377,984,3349,984,3338,980,3331,971,3326,963,3323,954,3321,943,3320,931,3321,919,3323,908,3326,899,3331,891,3339,881,3349,876,3377,876,3387,881,3394,890,3399,898,3403,907,3404,917,3405,919,3405,930,3405,865,3400,855,3392,848,3371,836,3360,834,3347,834,3335,834,3324,837,3314,840,3305,846,3296,853,3288,861,3281,870,3276,880,3271,892,3268,904,3266,917,3265,931,3266,945,3268,958,3271,970,3276,981,3281,991,3288,1000,3296,1008,3304,1015,3314,1020,3324,1023,3335,1026,3347,1026,3360,1026,3371,1024,3392,1013,3400,1005,3405,996,3405,1023,3460,1023,3460,996,3460,984,3460,876,3460,865,3460,838xm3616,838l3569,838,3569,777,3514,795,3514,838,3479,838,3479,880,3514,880,3514,953,3515,969,3518,984,3524,996,3532,1007,3542,1015,3554,1021,3568,1025,3584,1026,3597,1026,3607,1025,3616,1021,3616,978,3609,980,3603,981,3589,981,3582,979,3572,969,3569,962,3569,880,3616,880,3616,838xm3699,838l3644,838,3644,1023,3699,1023,3699,838xm3701,751l3642,751,3642,803,3701,803,3701,751xm3925,930l3924,916,3922,903,3918,890,3913,879,3911,876,3906,869,3899,860,3890,852,3879,845,3870,841,3870,930,3869,943,3867,954,3864,963,3859,971,3852,980,3842,984,3828,984,3809,981,3796,971,3788,954,3785,930,3786,917,3788,906,3792,897,3796,889,3804,880,3814,876,3842,876,3852,880,3859,889,3864,897,3867,906,3869,917,3870,930,3870,841,3868,840,3855,837,3842,834,3828,834,3814,834,3800,837,3788,840,3776,845,3766,852,3757,860,3749,869,3743,879,3737,890,3734,903,3731,916,3731,930,3731,944,3734,957,3737,970,3743,981,3749,991,3757,1000,3766,1008,3776,1015,3788,1020,3800,1023,3814,1026,3828,1026,3842,1026,3855,1023,3868,1020,3879,1015,3890,1008,3899,1000,3906,991,3911,984,3913,981,3918,970,3922,957,3924,944,3925,930xm4136,911l4132,877,4119,853,4099,838,4070,834,4057,834,4045,837,4023,848,4015,857,4008,868,4005,838,3953,838,3954,850,3955,863,3956,877,3956,1023,4011,1023,4011,907,4015,896,4029,881,4039,877,4061,877,4069,880,4078,892,4081,901,4081,1023,4136,1023,4136,911xe" filled="true" fillcolor="#3b957d" stroked="false">
              <v:path arrowok="t"/>
              <v:fill type="solid"/>
            </v:shape>
            <v:shape style="position:absolute;left:4165;top:833;width:195;height:193" type="#_x0000_t75" stroked="false">
              <v:imagedata r:id="rId67" o:title=""/>
            </v:shape>
            <v:rect style="position:absolute;left:4400;top:754;width:56;height:269" filled="true" fillcolor="#3b957d" stroked="false">
              <v:fill type="solid"/>
            </v:rect>
            <v:shape style="position:absolute;left:2980;top:754;width:4209;height:756" type="#_x0000_t75" stroked="false">
              <v:imagedata r:id="rId68" o:title=""/>
            </v:shape>
            <v:rect style="position:absolute;left:7229;top:1160;width:56;height:269" filled="true" fillcolor="#3b957d" stroked="false">
              <v:fill type="solid"/>
            </v:rect>
            <v:shape style="position:absolute;left:7316;top:1239;width:356;height:193" type="#_x0000_t75" stroked="false">
              <v:imagedata r:id="rId69" o:title=""/>
            </v:shape>
            <v:shape style="position:absolute;left:3008;top:1915;width:874;height:262" coordorigin="3008,1915" coordsize="874,262" path="m3215,2105l3214,2094,3212,2084,3208,2075,3203,2068,3203,2067,3196,2059,3188,2053,3179,2048,3169,2045,3181,2040,3191,2033,3196,2026,3204,2013,3208,2002,3208,1989,3206,1974,3204,1966,3202,1962,3195,1951,3185,1941,3173,1933,3163,1930,3163,2089,3163,2111,3160,2119,3146,2129,3136,2132,3062,2132,3062,2068,3136,2068,3146,2070,3160,2081,3163,2089,3163,1930,3158,1928,3156,1928,3156,1986,3156,2006,3153,2014,3139,2023,3128,2026,3062,2026,3062,1966,3128,1966,3139,1968,3153,1978,3156,1986,3156,1928,3142,1925,3124,1924,3008,1924,3008,2174,3127,2174,3146,2173,3163,2169,3178,2163,3191,2155,3201,2145,3209,2134,3209,2132,3213,2120,3215,2105xm3541,1996l3489,1996,3446,2112,3404,1996,3367,1996,3325,2111,3282,1996,3228,1996,3300,2174,3345,2174,3384,2071,3424,2174,3469,2174,3541,1996xm3685,1995l3680,1993,3674,1991,3654,1991,3643,1994,3624,2006,3617,2015,3613,2026,3609,1996,3560,1996,3561,2007,3562,2020,3562,2033,3562,2174,3615,2174,3615,2067,3619,2056,3634,2041,3645,2037,3667,2037,3676,2039,3685,2043,3685,1995xm3881,1915l3829,1915,3829,2084,3828,2095,3828,2096,3826,2106,3823,2115,3819,2123,3812,2132,3801,2136,3775,2136,3765,2132,3758,2122,3753,2115,3750,2106,3748,2095,3747,2084,3747,2067,3750,2054,3765,2036,3775,2032,3801,2032,3811,2036,3826,2054,3829,2067,3829,2084,3829,1915,3828,1915,3828,2020,3823,2011,3815,2004,3796,1994,3785,1991,3773,1991,3762,1992,3751,1994,3741,1998,3732,2003,3724,2009,3716,2016,3710,2025,3704,2035,3700,2046,3697,2057,3695,2070,3694,2083,3695,2096,3697,2109,3700,2121,3704,2132,3710,2142,3716,2151,3724,2158,3732,2165,3741,2170,3751,2174,3762,2176,3773,2177,3785,2177,3796,2174,3816,2164,3824,2157,3829,2147,3829,2174,3881,2174,3881,2147,3881,2136,3881,2032,3881,2020,3881,1915xe" filled="true" fillcolor="#3b957d" stroked="false">
              <v:path arrowok="t"/>
              <v:fill type="solid"/>
            </v:shape>
            <v:shape style="position:absolute;left:3915;top:1915;width:188;height:262" type="#_x0000_t75" stroked="false">
              <v:imagedata r:id="rId70" o:title=""/>
            </v:shape>
            <v:shape style="position:absolute;left:4247;top:1923;width:229;height:251" type="#_x0000_t75" stroked="false">
              <v:imagedata r:id="rId71" o:title=""/>
            </v:shape>
            <v:shape style="position:absolute;left:4513;top:1912;width:57;height:262" coordorigin="4513,1912" coordsize="57,262" path="m4568,1996l4515,1996,4515,2174,4568,2174,4568,1996xm4570,1912l4513,1912,4513,1962,4570,1962,4570,1912xe" filled="true" fillcolor="#3b957d" stroked="false">
              <v:path arrowok="t"/>
              <v:fill type="solid"/>
            </v:shape>
            <v:shape style="position:absolute;left:4602;top:1991;width:402;height:262" type="#_x0000_t75" stroked="false">
              <v:imagedata r:id="rId72" o:title=""/>
            </v:shape>
            <v:shape style="position:absolute;left:5037;top:1991;width:169;height:186" type="#_x0000_t75" stroked="false">
              <v:imagedata r:id="rId73" o:title=""/>
            </v:shape>
            <v:rect style="position:absolute;left:5239;top:1915;width:54;height:259" filled="true" fillcolor="#3b957d" stroked="false">
              <v:fill type="solid"/>
            </v:rect>
            <v:shape style="position:absolute;left:5334;top:1995;width:172;height:181" type="#_x0000_t75" stroked="false">
              <v:imagedata r:id="rId74" o:title=""/>
            </v:shape>
            <v:shape style="position:absolute;left:5622;top:1923;width:466;height:251" type="#_x0000_t75" stroked="false">
              <v:imagedata r:id="rId75" o:title=""/>
            </v:shape>
            <v:shape style="position:absolute;left:6126;top:1991;width:177;height:183" type="#_x0000_t75" stroked="false">
              <v:imagedata r:id="rId76" o:title=""/>
            </v:shape>
            <v:shape style="position:absolute;left:6343;top:1912;width:57;height:262" coordorigin="6343,1912" coordsize="57,262" path="m6398,1996l6345,1996,6345,2174,6398,2174,6398,1996xm6400,1912l6343,1912,6343,1962,6400,1962,6400,1912xe" filled="true" fillcolor="#3b957d" stroked="false">
              <v:path arrowok="t"/>
              <v:fill type="solid"/>
            </v:shape>
            <v:shape style="position:absolute;left:6441;top:1915;width:585;height:339" type="#_x0000_t75" stroked="false">
              <v:imagedata r:id="rId77" o:title=""/>
            </v:shape>
            <v:shape style="position:absolute;left:7065;top:1991;width:177;height:183" type="#_x0000_t75" stroked="false">
              <v:imagedata r:id="rId78" o:title=""/>
            </v:shape>
            <v:shape style="position:absolute;left:7274;top:1991;width:187;height:186" type="#_x0000_t75" stroked="false">
              <v:imagedata r:id="rId79" o:title=""/>
            </v:shape>
            <v:rect style="position:absolute;left:7495;top:1915;width:54;height:259" filled="true" fillcolor="#3b957d" stroked="false">
              <v:fill type="solid"/>
            </v:rect>
            <v:shape style="position:absolute;left:3000;top:2342;width:401;height:257" type="#_x0000_t75" stroked="false">
              <v:imagedata r:id="rId80" o:title=""/>
            </v:shape>
            <v:shape style="position:absolute;left:3432;top:2412;width:177;height:183" type="#_x0000_t75" stroked="false">
              <v:imagedata r:id="rId81" o:title=""/>
            </v:shape>
            <v:shape style="position:absolute;left:3641;top:2336;width:381;height:262" type="#_x0000_t75" stroked="false">
              <v:imagedata r:id="rId82" o:title=""/>
            </v:shape>
            <v:rect style="position:absolute;left:4065;top:2336;width:54;height:259" filled="true" fillcolor="#3b957d" stroked="false">
              <v:fill type="solid"/>
            </v:rect>
            <v:shape style="position:absolute;left:4152;top:2412;width:188;height:186" type="#_x0000_t75" stroked="false">
              <v:imagedata r:id="rId83" o:title=""/>
            </v:shape>
            <v:shape style="position:absolute;left:4373;top:2336;width:511;height:262" type="#_x0000_t75" stroked="false">
              <v:imagedata r:id="rId84" o:title=""/>
            </v:shape>
            <v:shape style="position:absolute;left:4918;top:2412;width:187;height:186" type="#_x0000_t75" stroked="false">
              <v:imagedata r:id="rId85" o:title=""/>
            </v:shape>
            <v:rect style="position:absolute;left:5139;top:2336;width:54;height:259" filled="true" fillcolor="#3b957d" stroked="false">
              <v:fill type="solid"/>
            </v:rect>
            <v:shape style="position:absolute;left:5330;top:2342;width:709;height:334" type="#_x0000_t75" stroked="false">
              <v:imagedata r:id="rId86" o:title=""/>
            </v:shape>
            <v:shape style="position:absolute;left:6078;top:2413;width:317;height:186" type="#_x0000_t75" stroked="false">
              <v:imagedata r:id="rId87" o:title=""/>
            </v:shape>
            <v:shape style="position:absolute;left:10103;top:822;width:1242;height:1741" type="#_x0000_t75" stroked="false">
              <v:imagedata r:id="rId88" o:title=""/>
            </v:shape>
            <v:shape style="position:absolute;left:722;top:5424;width:436;height:1820" coordorigin="723,5424" coordsize="436,1820" path="m891,5747l887,5747,847,5747,891,5747xm1098,5686l1098,5500,1093,5495,1079,5495,793,5495,789,5500,789,5687,794,5692,1092,5692,1098,5686xm1120,6809l1119,6808,940,6809,1120,6809xm1120,6117l1119,6116,940,6117,1120,6117xm1120,5425l1119,5424,940,5425,1120,5425xm1158,6847l1155,6832,1147,6820,1135,6811,1120,6809,1067,6809,1067,6990,1067,7044,1013,7044,1013,7189,949,7189,949,7044,913,7044,913,6990,949,6990,950,6969,950,6959,951,6946,952,6934,956,6918,963,6907,974,6899,990,6894,1009,6892,1028,6891,1067,6890,1067,6945,1058,6945,1049,6945,1035,6946,1030,6946,1018,6949,1014,6953,1013,6969,1014,6979,1014,6990,1067,6990,1067,6809,940,6809,762,6809,745,6811,733,6819,726,6831,723,6847,723,7212,724,7215,728,7227,736,7236,747,7242,760,7244,805,7244,1119,7244,1135,7241,1147,7233,1155,7221,1158,7205,1158,7189,1158,6945,1158,6890,1158,6847xm1158,6155l1155,6140,1147,6128,1135,6120,1127,6118,1127,6229,1126,6233,1117,6243,1104,6257,1097,6263,1090,6268,1090,6285,1090,6289,1089,6296,1088,6306,1087,6316,1084,6327,1082,6337,1074,6360,1064,6382,1051,6403,1036,6423,1013,6446,986,6466,957,6481,925,6491,915,6493,906,6494,884,6497,871,6497,859,6496,842,6495,825,6492,809,6488,793,6482,781,6477,769,6472,757,6464,756,6463,756,6462,756,6463,760,6463,763,6463,776,6463,784,6463,790,6462,793,6462,813,6458,831,6452,849,6443,866,6432,866,6432,866,6431,867,6430,866,6430,866,6430,865,6430,847,6427,831,6420,817,6410,805,6395,801,6391,799,6385,797,6379,796,6377,800,6378,804,6378,811,6378,815,6378,824,6377,827,6377,827,6377,829,6376,802,6364,783,6345,772,6323,769,6300,770,6300,771,6301,777,6304,783,6306,793,6308,798,6309,802,6309,802,6309,803,6309,802,6308,801,6307,798,6305,797,6304,795,6303,792,6300,791,6299,788,6296,786,6293,785,6291,783,6289,781,6285,779,6283,777,6279,777,6278,775,6274,774,6271,773,6267,772,6266,771,6262,771,6259,770,6255,770,6253,770,6251,770,6238,771,6232,771,6229,772,6225,773,6221,774,6220,775,6216,777,6212,778,6210,780,6207,781,6207,781,6208,789,6217,796,6225,805,6232,826,6249,850,6263,875,6274,902,6282,913,6285,924,6286,937,6287,938,6287,936,6272,937,6259,937,6257,941,6243,947,6230,954,6221,961,6213,968,6207,970,6206,980,6200,1002,6193,1026,6194,1049,6201,1069,6217,1070,6217,1071,6217,1072,6216,1083,6213,1094,6210,1105,6205,1115,6200,1116,6200,1117,6199,1117,6203,1111,6215,1100,6229,1093,6235,1086,6240,1089,6240,1091,6240,1097,6239,1100,6238,1105,6237,1108,6236,1114,6234,1116,6233,1122,6231,1124,6230,1127,6229,1127,6118,1120,6117,940,6117,762,6117,745,6119,733,6127,726,6139,723,6155,723,6520,724,6523,728,6535,736,6544,747,6550,760,6552,1119,6552,1135,6549,1147,6541,1155,6529,1158,6513,1158,6497,1158,6229,1158,6199,1158,6193,1158,6155xm1158,5468l1158,5464,1155,5448,1147,5436,1135,5428,1124,5426,1124,5708,1122,5722,1114,5733,1104,5742,1091,5746,1077,5747,1063,5747,1055,5747,1055,5809,1055,5812,1055,5816,833,5816,828,5803,837,5791,1050,5791,1054,5794,1055,5809,1055,5747,1013,5747,986,5747,984,5749,985,5756,984,5769,979,5774,943,5775,907,5774,903,5770,901,5747,847,5747,807,5747,791,5745,779,5739,770,5730,764,5718,762,5714,762,5711,762,5508,765,5493,774,5480,786,5472,801,5469,911,5468,943,5468,943,5468,1063,5468,1083,5468,1096,5470,1108,5476,1117,5485,1123,5497,1124,5500,1124,5503,1124,5708,1124,5426,1120,5425,940,5425,762,5425,745,5427,733,5435,726,5447,723,5464,723,5828,724,5831,728,5843,736,5852,747,5858,760,5860,1119,5860,1135,5857,1147,5849,1155,5837,1158,5821,1158,5816,1158,5791,1158,5775,1158,5747,1158,5468xe" filled="true" fillcolor="#f99d2c" stroked="false">
              <v:path arrowok="t"/>
              <v:fill type="solid"/>
            </v:shape>
            <w10:wrap type="none"/>
          </v:group>
        </w:pic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3"/>
        <w:rPr>
          <w:rFonts w:ascii="Avenir"/>
          <w:b/>
          <w:sz w:val="21"/>
        </w:rPr>
      </w:pPr>
    </w:p>
    <w:p>
      <w:pPr>
        <w:spacing w:line="338" w:lineRule="auto" w:before="107"/>
        <w:ind w:left="770" w:right="3876" w:hanging="668"/>
        <w:jc w:val="left"/>
        <w:rPr>
          <w:sz w:val="36"/>
        </w:rPr>
      </w:pPr>
      <w:r>
        <w:rPr>
          <w:rFonts w:ascii="Avenir"/>
          <w:b/>
          <w:color w:val="399279"/>
          <w:sz w:val="36"/>
        </w:rPr>
        <w:t>Keep in touch </w:t>
      </w:r>
      <w:hyperlink r:id="rId89">
        <w:r>
          <w:rPr>
            <w:color w:val="399279"/>
            <w:spacing w:val="-2"/>
            <w:sz w:val="36"/>
          </w:rPr>
          <w:t>www.safeguardingboard.wales</w:t>
        </w:r>
      </w:hyperlink>
      <w:r>
        <w:rPr>
          <w:color w:val="399279"/>
          <w:spacing w:val="-2"/>
          <w:sz w:val="36"/>
        </w:rPr>
        <w:t> </w:t>
      </w:r>
      <w:r>
        <w:rPr>
          <w:color w:val="399279"/>
          <w:sz w:val="36"/>
        </w:rPr>
        <w:t>@NISBwales safeguardingwales</w:t>
      </w:r>
    </w:p>
    <w:sectPr>
      <w:pgSz w:w="11910" w:h="16840"/>
      <w:pgMar w:top="1580" w:bottom="280" w:left="6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Book">
    <w:altName w:val="Avenir-Book"/>
    <w:charset w:val="0"/>
    <w:family w:val="swiss"/>
    <w:pitch w:val="variable"/>
  </w:font>
  <w:font w:name="Avenir">
    <w:altName w:val="Avenir"/>
    <w:charset w:val="0"/>
    <w:family w:val="swiss"/>
    <w:pitch w:val="variable"/>
  </w:font>
  <w:font w:name="Avenir-BlackOblique">
    <w:altName w:val="Avenir-BlackOblique"/>
    <w:charset w:val="0"/>
    <w:family w:val="swiss"/>
    <w:pitch w:val="variable"/>
  </w:font>
  <w:font w:name="Arial">
    <w:altName w:val="Arial"/>
    <w:charset w:val="0"/>
    <w:family w:val="swiss"/>
    <w:pitch w:val="variable"/>
  </w:font>
  <w:font w:name="Avenir-MediumOblique">
    <w:altName w:val="Avenir-MediumOblique"/>
    <w:charset w:val="0"/>
    <w:family w:val="swiss"/>
    <w:pitch w:val="variable"/>
  </w:font>
  <w:font w:name="Bradley Hand">
    <w:altName w:val="Bradley Hand"/>
    <w:charset w:val="0"/>
    <w:family w:val="script"/>
    <w:pitch w:val="variable"/>
  </w:font>
  <w:font w:name="BrushScriptMT">
    <w:altName w:val="BrushScriptMT"/>
    <w:charset w:val="0"/>
    <w:family w:val="script"/>
    <w:pitch w:val="variable"/>
  </w:font>
  <w:font w:name="Georgia-BoldItalic">
    <w:altName w:val="Georgia-BoldItalic"/>
    <w:charset w:val="0"/>
    <w:family w:val="roman"/>
    <w:pitch w:val="variable"/>
  </w:font>
  <w:font w:name="Avenir-BookOblique">
    <w:altName w:val="Avenir-BookOblique"/>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993" w:hanging="300"/>
        <w:jc w:val="left"/>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2002" w:hanging="300"/>
      </w:pPr>
      <w:rPr>
        <w:rFonts w:hint="default"/>
        <w:lang w:val="en-gb" w:eastAsia="en-US" w:bidi="ar-SA"/>
      </w:rPr>
    </w:lvl>
    <w:lvl w:ilvl="2">
      <w:start w:val="0"/>
      <w:numFmt w:val="bullet"/>
      <w:lvlText w:val="•"/>
      <w:lvlJc w:val="left"/>
      <w:pPr>
        <w:ind w:left="3005" w:hanging="300"/>
      </w:pPr>
      <w:rPr>
        <w:rFonts w:hint="default"/>
        <w:lang w:val="en-gb" w:eastAsia="en-US" w:bidi="ar-SA"/>
      </w:rPr>
    </w:lvl>
    <w:lvl w:ilvl="3">
      <w:start w:val="0"/>
      <w:numFmt w:val="bullet"/>
      <w:lvlText w:val="•"/>
      <w:lvlJc w:val="left"/>
      <w:pPr>
        <w:ind w:left="4007" w:hanging="300"/>
      </w:pPr>
      <w:rPr>
        <w:rFonts w:hint="default"/>
        <w:lang w:val="en-gb" w:eastAsia="en-US" w:bidi="ar-SA"/>
      </w:rPr>
    </w:lvl>
    <w:lvl w:ilvl="4">
      <w:start w:val="0"/>
      <w:numFmt w:val="bullet"/>
      <w:lvlText w:val="•"/>
      <w:lvlJc w:val="left"/>
      <w:pPr>
        <w:ind w:left="5010" w:hanging="300"/>
      </w:pPr>
      <w:rPr>
        <w:rFonts w:hint="default"/>
        <w:lang w:val="en-gb" w:eastAsia="en-US" w:bidi="ar-SA"/>
      </w:rPr>
    </w:lvl>
    <w:lvl w:ilvl="5">
      <w:start w:val="0"/>
      <w:numFmt w:val="bullet"/>
      <w:lvlText w:val="•"/>
      <w:lvlJc w:val="left"/>
      <w:pPr>
        <w:ind w:left="6012" w:hanging="300"/>
      </w:pPr>
      <w:rPr>
        <w:rFonts w:hint="default"/>
        <w:lang w:val="en-gb" w:eastAsia="en-US" w:bidi="ar-SA"/>
      </w:rPr>
    </w:lvl>
    <w:lvl w:ilvl="6">
      <w:start w:val="0"/>
      <w:numFmt w:val="bullet"/>
      <w:lvlText w:val="•"/>
      <w:lvlJc w:val="left"/>
      <w:pPr>
        <w:ind w:left="7015" w:hanging="300"/>
      </w:pPr>
      <w:rPr>
        <w:rFonts w:hint="default"/>
        <w:lang w:val="en-gb" w:eastAsia="en-US" w:bidi="ar-SA"/>
      </w:rPr>
    </w:lvl>
    <w:lvl w:ilvl="7">
      <w:start w:val="0"/>
      <w:numFmt w:val="bullet"/>
      <w:lvlText w:val="•"/>
      <w:lvlJc w:val="left"/>
      <w:pPr>
        <w:ind w:left="8017" w:hanging="300"/>
      </w:pPr>
      <w:rPr>
        <w:rFonts w:hint="default"/>
        <w:lang w:val="en-gb" w:eastAsia="en-US" w:bidi="ar-SA"/>
      </w:rPr>
    </w:lvl>
    <w:lvl w:ilvl="8">
      <w:start w:val="0"/>
      <w:numFmt w:val="bullet"/>
      <w:lvlText w:val="•"/>
      <w:lvlJc w:val="left"/>
      <w:pPr>
        <w:ind w:left="9020" w:hanging="300"/>
      </w:pPr>
      <w:rPr>
        <w:rFonts w:hint="default"/>
        <w:lang w:val="en-gb" w:eastAsia="en-US" w:bidi="ar-SA"/>
      </w:rPr>
    </w:lvl>
  </w:abstractNum>
  <w:abstractNum w:abstractNumId="5">
    <w:multiLevelType w:val="hybridMultilevel"/>
    <w:lvl w:ilvl="0">
      <w:start w:val="0"/>
      <w:numFmt w:val="bullet"/>
      <w:lvlText w:val="–"/>
      <w:lvlJc w:val="left"/>
      <w:pPr>
        <w:ind w:left="2730"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3568" w:hanging="340"/>
      </w:pPr>
      <w:rPr>
        <w:rFonts w:hint="default"/>
        <w:lang w:val="en-gb" w:eastAsia="en-US" w:bidi="ar-SA"/>
      </w:rPr>
    </w:lvl>
    <w:lvl w:ilvl="2">
      <w:start w:val="0"/>
      <w:numFmt w:val="bullet"/>
      <w:lvlText w:val="•"/>
      <w:lvlJc w:val="left"/>
      <w:pPr>
        <w:ind w:left="4397" w:hanging="340"/>
      </w:pPr>
      <w:rPr>
        <w:rFonts w:hint="default"/>
        <w:lang w:val="en-gb" w:eastAsia="en-US" w:bidi="ar-SA"/>
      </w:rPr>
    </w:lvl>
    <w:lvl w:ilvl="3">
      <w:start w:val="0"/>
      <w:numFmt w:val="bullet"/>
      <w:lvlText w:val="•"/>
      <w:lvlJc w:val="left"/>
      <w:pPr>
        <w:ind w:left="5225" w:hanging="340"/>
      </w:pPr>
      <w:rPr>
        <w:rFonts w:hint="default"/>
        <w:lang w:val="en-gb" w:eastAsia="en-US" w:bidi="ar-SA"/>
      </w:rPr>
    </w:lvl>
    <w:lvl w:ilvl="4">
      <w:start w:val="0"/>
      <w:numFmt w:val="bullet"/>
      <w:lvlText w:val="•"/>
      <w:lvlJc w:val="left"/>
      <w:pPr>
        <w:ind w:left="6054" w:hanging="340"/>
      </w:pPr>
      <w:rPr>
        <w:rFonts w:hint="default"/>
        <w:lang w:val="en-gb" w:eastAsia="en-US" w:bidi="ar-SA"/>
      </w:rPr>
    </w:lvl>
    <w:lvl w:ilvl="5">
      <w:start w:val="0"/>
      <w:numFmt w:val="bullet"/>
      <w:lvlText w:val="•"/>
      <w:lvlJc w:val="left"/>
      <w:pPr>
        <w:ind w:left="6882" w:hanging="340"/>
      </w:pPr>
      <w:rPr>
        <w:rFonts w:hint="default"/>
        <w:lang w:val="en-gb" w:eastAsia="en-US" w:bidi="ar-SA"/>
      </w:rPr>
    </w:lvl>
    <w:lvl w:ilvl="6">
      <w:start w:val="0"/>
      <w:numFmt w:val="bullet"/>
      <w:lvlText w:val="•"/>
      <w:lvlJc w:val="left"/>
      <w:pPr>
        <w:ind w:left="7711" w:hanging="340"/>
      </w:pPr>
      <w:rPr>
        <w:rFonts w:hint="default"/>
        <w:lang w:val="en-gb" w:eastAsia="en-US" w:bidi="ar-SA"/>
      </w:rPr>
    </w:lvl>
    <w:lvl w:ilvl="7">
      <w:start w:val="0"/>
      <w:numFmt w:val="bullet"/>
      <w:lvlText w:val="•"/>
      <w:lvlJc w:val="left"/>
      <w:pPr>
        <w:ind w:left="8539" w:hanging="340"/>
      </w:pPr>
      <w:rPr>
        <w:rFonts w:hint="default"/>
        <w:lang w:val="en-gb" w:eastAsia="en-US" w:bidi="ar-SA"/>
      </w:rPr>
    </w:lvl>
    <w:lvl w:ilvl="8">
      <w:start w:val="0"/>
      <w:numFmt w:val="bullet"/>
      <w:lvlText w:val="•"/>
      <w:lvlJc w:val="left"/>
      <w:pPr>
        <w:ind w:left="9368" w:hanging="340"/>
      </w:pPr>
      <w:rPr>
        <w:rFonts w:hint="default"/>
        <w:lang w:val="en-gb" w:eastAsia="en-US" w:bidi="ar-SA"/>
      </w:rPr>
    </w:lvl>
  </w:abstractNum>
  <w:abstractNum w:abstractNumId="3">
    <w:multiLevelType w:val="hybridMultilevel"/>
    <w:lvl w:ilvl="0">
      <w:start w:val="0"/>
      <w:numFmt w:val="bullet"/>
      <w:lvlText w:val="–"/>
      <w:lvlJc w:val="left"/>
      <w:pPr>
        <w:ind w:left="2730"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3568" w:hanging="340"/>
      </w:pPr>
      <w:rPr>
        <w:rFonts w:hint="default"/>
        <w:lang w:val="en-gb" w:eastAsia="en-US" w:bidi="ar-SA"/>
      </w:rPr>
    </w:lvl>
    <w:lvl w:ilvl="2">
      <w:start w:val="0"/>
      <w:numFmt w:val="bullet"/>
      <w:lvlText w:val="•"/>
      <w:lvlJc w:val="left"/>
      <w:pPr>
        <w:ind w:left="4397" w:hanging="340"/>
      </w:pPr>
      <w:rPr>
        <w:rFonts w:hint="default"/>
        <w:lang w:val="en-gb" w:eastAsia="en-US" w:bidi="ar-SA"/>
      </w:rPr>
    </w:lvl>
    <w:lvl w:ilvl="3">
      <w:start w:val="0"/>
      <w:numFmt w:val="bullet"/>
      <w:lvlText w:val="•"/>
      <w:lvlJc w:val="left"/>
      <w:pPr>
        <w:ind w:left="5225" w:hanging="340"/>
      </w:pPr>
      <w:rPr>
        <w:rFonts w:hint="default"/>
        <w:lang w:val="en-gb" w:eastAsia="en-US" w:bidi="ar-SA"/>
      </w:rPr>
    </w:lvl>
    <w:lvl w:ilvl="4">
      <w:start w:val="0"/>
      <w:numFmt w:val="bullet"/>
      <w:lvlText w:val="•"/>
      <w:lvlJc w:val="left"/>
      <w:pPr>
        <w:ind w:left="6054" w:hanging="340"/>
      </w:pPr>
      <w:rPr>
        <w:rFonts w:hint="default"/>
        <w:lang w:val="en-gb" w:eastAsia="en-US" w:bidi="ar-SA"/>
      </w:rPr>
    </w:lvl>
    <w:lvl w:ilvl="5">
      <w:start w:val="0"/>
      <w:numFmt w:val="bullet"/>
      <w:lvlText w:val="•"/>
      <w:lvlJc w:val="left"/>
      <w:pPr>
        <w:ind w:left="6882" w:hanging="340"/>
      </w:pPr>
      <w:rPr>
        <w:rFonts w:hint="default"/>
        <w:lang w:val="en-gb" w:eastAsia="en-US" w:bidi="ar-SA"/>
      </w:rPr>
    </w:lvl>
    <w:lvl w:ilvl="6">
      <w:start w:val="0"/>
      <w:numFmt w:val="bullet"/>
      <w:lvlText w:val="•"/>
      <w:lvlJc w:val="left"/>
      <w:pPr>
        <w:ind w:left="7711" w:hanging="340"/>
      </w:pPr>
      <w:rPr>
        <w:rFonts w:hint="default"/>
        <w:lang w:val="en-gb" w:eastAsia="en-US" w:bidi="ar-SA"/>
      </w:rPr>
    </w:lvl>
    <w:lvl w:ilvl="7">
      <w:start w:val="0"/>
      <w:numFmt w:val="bullet"/>
      <w:lvlText w:val="•"/>
      <w:lvlJc w:val="left"/>
      <w:pPr>
        <w:ind w:left="8539" w:hanging="340"/>
      </w:pPr>
      <w:rPr>
        <w:rFonts w:hint="default"/>
        <w:lang w:val="en-gb" w:eastAsia="en-US" w:bidi="ar-SA"/>
      </w:rPr>
    </w:lvl>
    <w:lvl w:ilvl="8">
      <w:start w:val="0"/>
      <w:numFmt w:val="bullet"/>
      <w:lvlText w:val="•"/>
      <w:lvlJc w:val="left"/>
      <w:pPr>
        <w:ind w:left="9368" w:hanging="340"/>
      </w:pPr>
      <w:rPr>
        <w:rFonts w:hint="default"/>
        <w:lang w:val="en-gb" w:eastAsia="en-US" w:bidi="ar-SA"/>
      </w:rPr>
    </w:lvl>
  </w:abstractNum>
  <w:abstractNum w:abstractNumId="1">
    <w:multiLevelType w:val="hybridMultilevel"/>
    <w:lvl w:ilvl="0">
      <w:start w:val="0"/>
      <w:numFmt w:val="bullet"/>
      <w:lvlText w:val="–"/>
      <w:lvlJc w:val="left"/>
      <w:pPr>
        <w:ind w:left="2730"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3568" w:hanging="340"/>
      </w:pPr>
      <w:rPr>
        <w:rFonts w:hint="default"/>
        <w:lang w:val="en-gb" w:eastAsia="en-US" w:bidi="ar-SA"/>
      </w:rPr>
    </w:lvl>
    <w:lvl w:ilvl="2">
      <w:start w:val="0"/>
      <w:numFmt w:val="bullet"/>
      <w:lvlText w:val="•"/>
      <w:lvlJc w:val="left"/>
      <w:pPr>
        <w:ind w:left="4397" w:hanging="340"/>
      </w:pPr>
      <w:rPr>
        <w:rFonts w:hint="default"/>
        <w:lang w:val="en-gb" w:eastAsia="en-US" w:bidi="ar-SA"/>
      </w:rPr>
    </w:lvl>
    <w:lvl w:ilvl="3">
      <w:start w:val="0"/>
      <w:numFmt w:val="bullet"/>
      <w:lvlText w:val="•"/>
      <w:lvlJc w:val="left"/>
      <w:pPr>
        <w:ind w:left="5225" w:hanging="340"/>
      </w:pPr>
      <w:rPr>
        <w:rFonts w:hint="default"/>
        <w:lang w:val="en-gb" w:eastAsia="en-US" w:bidi="ar-SA"/>
      </w:rPr>
    </w:lvl>
    <w:lvl w:ilvl="4">
      <w:start w:val="0"/>
      <w:numFmt w:val="bullet"/>
      <w:lvlText w:val="•"/>
      <w:lvlJc w:val="left"/>
      <w:pPr>
        <w:ind w:left="6054" w:hanging="340"/>
      </w:pPr>
      <w:rPr>
        <w:rFonts w:hint="default"/>
        <w:lang w:val="en-gb" w:eastAsia="en-US" w:bidi="ar-SA"/>
      </w:rPr>
    </w:lvl>
    <w:lvl w:ilvl="5">
      <w:start w:val="0"/>
      <w:numFmt w:val="bullet"/>
      <w:lvlText w:val="•"/>
      <w:lvlJc w:val="left"/>
      <w:pPr>
        <w:ind w:left="6882" w:hanging="340"/>
      </w:pPr>
      <w:rPr>
        <w:rFonts w:hint="default"/>
        <w:lang w:val="en-gb" w:eastAsia="en-US" w:bidi="ar-SA"/>
      </w:rPr>
    </w:lvl>
    <w:lvl w:ilvl="6">
      <w:start w:val="0"/>
      <w:numFmt w:val="bullet"/>
      <w:lvlText w:val="•"/>
      <w:lvlJc w:val="left"/>
      <w:pPr>
        <w:ind w:left="7711" w:hanging="340"/>
      </w:pPr>
      <w:rPr>
        <w:rFonts w:hint="default"/>
        <w:lang w:val="en-gb" w:eastAsia="en-US" w:bidi="ar-SA"/>
      </w:rPr>
    </w:lvl>
    <w:lvl w:ilvl="7">
      <w:start w:val="0"/>
      <w:numFmt w:val="bullet"/>
      <w:lvlText w:val="•"/>
      <w:lvlJc w:val="left"/>
      <w:pPr>
        <w:ind w:left="8539" w:hanging="340"/>
      </w:pPr>
      <w:rPr>
        <w:rFonts w:hint="default"/>
        <w:lang w:val="en-gb" w:eastAsia="en-US" w:bidi="ar-SA"/>
      </w:rPr>
    </w:lvl>
    <w:lvl w:ilvl="8">
      <w:start w:val="0"/>
      <w:numFmt w:val="bullet"/>
      <w:lvlText w:val="•"/>
      <w:lvlJc w:val="left"/>
      <w:pPr>
        <w:ind w:left="9368" w:hanging="340"/>
      </w:pPr>
      <w:rPr>
        <w:rFonts w:hint="default"/>
        <w:lang w:val="en-gb" w:eastAsia="en-US" w:bidi="ar-SA"/>
      </w:rPr>
    </w:lvl>
  </w:abstractNum>
  <w:abstractNum w:abstractNumId="29">
    <w:multiLevelType w:val="hybridMultilevel"/>
    <w:lvl w:ilvl="0">
      <w:start w:val="1"/>
      <w:numFmt w:val="lowerRoman"/>
      <w:lvlText w:val="(%1)"/>
      <w:lvlJc w:val="left"/>
      <w:pPr>
        <w:ind w:left="1281" w:hanging="236"/>
        <w:jc w:val="left"/>
      </w:pPr>
      <w:rPr>
        <w:rFonts w:hint="default" w:ascii="Avenir" w:hAnsi="Avenir" w:eastAsia="Avenir" w:cs="Avenir"/>
        <w:i/>
        <w:color w:val="231F20"/>
        <w:w w:val="100"/>
        <w:sz w:val="22"/>
        <w:szCs w:val="22"/>
        <w:lang w:val="en-gb" w:eastAsia="en-US" w:bidi="ar-SA"/>
      </w:rPr>
    </w:lvl>
    <w:lvl w:ilvl="1">
      <w:start w:val="0"/>
      <w:numFmt w:val="bullet"/>
      <w:lvlText w:val="•"/>
      <w:lvlJc w:val="left"/>
      <w:pPr>
        <w:ind w:left="2254" w:hanging="236"/>
      </w:pPr>
      <w:rPr>
        <w:rFonts w:hint="default"/>
        <w:lang w:val="en-gb" w:eastAsia="en-US" w:bidi="ar-SA"/>
      </w:rPr>
    </w:lvl>
    <w:lvl w:ilvl="2">
      <w:start w:val="0"/>
      <w:numFmt w:val="bullet"/>
      <w:lvlText w:val="•"/>
      <w:lvlJc w:val="left"/>
      <w:pPr>
        <w:ind w:left="3229" w:hanging="236"/>
      </w:pPr>
      <w:rPr>
        <w:rFonts w:hint="default"/>
        <w:lang w:val="en-gb" w:eastAsia="en-US" w:bidi="ar-SA"/>
      </w:rPr>
    </w:lvl>
    <w:lvl w:ilvl="3">
      <w:start w:val="0"/>
      <w:numFmt w:val="bullet"/>
      <w:lvlText w:val="•"/>
      <w:lvlJc w:val="left"/>
      <w:pPr>
        <w:ind w:left="4203" w:hanging="236"/>
      </w:pPr>
      <w:rPr>
        <w:rFonts w:hint="default"/>
        <w:lang w:val="en-gb" w:eastAsia="en-US" w:bidi="ar-SA"/>
      </w:rPr>
    </w:lvl>
    <w:lvl w:ilvl="4">
      <w:start w:val="0"/>
      <w:numFmt w:val="bullet"/>
      <w:lvlText w:val="•"/>
      <w:lvlJc w:val="left"/>
      <w:pPr>
        <w:ind w:left="5178" w:hanging="236"/>
      </w:pPr>
      <w:rPr>
        <w:rFonts w:hint="default"/>
        <w:lang w:val="en-gb" w:eastAsia="en-US" w:bidi="ar-SA"/>
      </w:rPr>
    </w:lvl>
    <w:lvl w:ilvl="5">
      <w:start w:val="0"/>
      <w:numFmt w:val="bullet"/>
      <w:lvlText w:val="•"/>
      <w:lvlJc w:val="left"/>
      <w:pPr>
        <w:ind w:left="6152" w:hanging="236"/>
      </w:pPr>
      <w:rPr>
        <w:rFonts w:hint="default"/>
        <w:lang w:val="en-gb" w:eastAsia="en-US" w:bidi="ar-SA"/>
      </w:rPr>
    </w:lvl>
    <w:lvl w:ilvl="6">
      <w:start w:val="0"/>
      <w:numFmt w:val="bullet"/>
      <w:lvlText w:val="•"/>
      <w:lvlJc w:val="left"/>
      <w:pPr>
        <w:ind w:left="7127" w:hanging="236"/>
      </w:pPr>
      <w:rPr>
        <w:rFonts w:hint="default"/>
        <w:lang w:val="en-gb" w:eastAsia="en-US" w:bidi="ar-SA"/>
      </w:rPr>
    </w:lvl>
    <w:lvl w:ilvl="7">
      <w:start w:val="0"/>
      <w:numFmt w:val="bullet"/>
      <w:lvlText w:val="•"/>
      <w:lvlJc w:val="left"/>
      <w:pPr>
        <w:ind w:left="8101" w:hanging="236"/>
      </w:pPr>
      <w:rPr>
        <w:rFonts w:hint="default"/>
        <w:lang w:val="en-gb" w:eastAsia="en-US" w:bidi="ar-SA"/>
      </w:rPr>
    </w:lvl>
    <w:lvl w:ilvl="8">
      <w:start w:val="0"/>
      <w:numFmt w:val="bullet"/>
      <w:lvlText w:val="•"/>
      <w:lvlJc w:val="left"/>
      <w:pPr>
        <w:ind w:left="9076" w:hanging="236"/>
      </w:pPr>
      <w:rPr>
        <w:rFonts w:hint="default"/>
        <w:lang w:val="en-gb" w:eastAsia="en-US" w:bidi="ar-SA"/>
      </w:rPr>
    </w:lvl>
  </w:abstractNum>
  <w:abstractNum w:abstractNumId="28">
    <w:multiLevelType w:val="hybridMultilevel"/>
    <w:lvl w:ilvl="0">
      <w:start w:val="0"/>
      <w:numFmt w:val="bullet"/>
      <w:lvlText w:val="–"/>
      <w:lvlJc w:val="left"/>
      <w:pPr>
        <w:ind w:left="1009"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2002" w:hanging="340"/>
      </w:pPr>
      <w:rPr>
        <w:rFonts w:hint="default"/>
        <w:lang w:val="en-gb" w:eastAsia="en-US" w:bidi="ar-SA"/>
      </w:rPr>
    </w:lvl>
    <w:lvl w:ilvl="2">
      <w:start w:val="0"/>
      <w:numFmt w:val="bullet"/>
      <w:lvlText w:val="•"/>
      <w:lvlJc w:val="left"/>
      <w:pPr>
        <w:ind w:left="3005" w:hanging="340"/>
      </w:pPr>
      <w:rPr>
        <w:rFonts w:hint="default"/>
        <w:lang w:val="en-gb" w:eastAsia="en-US" w:bidi="ar-SA"/>
      </w:rPr>
    </w:lvl>
    <w:lvl w:ilvl="3">
      <w:start w:val="0"/>
      <w:numFmt w:val="bullet"/>
      <w:lvlText w:val="•"/>
      <w:lvlJc w:val="left"/>
      <w:pPr>
        <w:ind w:left="4007" w:hanging="340"/>
      </w:pPr>
      <w:rPr>
        <w:rFonts w:hint="default"/>
        <w:lang w:val="en-gb" w:eastAsia="en-US" w:bidi="ar-SA"/>
      </w:rPr>
    </w:lvl>
    <w:lvl w:ilvl="4">
      <w:start w:val="0"/>
      <w:numFmt w:val="bullet"/>
      <w:lvlText w:val="•"/>
      <w:lvlJc w:val="left"/>
      <w:pPr>
        <w:ind w:left="5010" w:hanging="340"/>
      </w:pPr>
      <w:rPr>
        <w:rFonts w:hint="default"/>
        <w:lang w:val="en-gb" w:eastAsia="en-US" w:bidi="ar-SA"/>
      </w:rPr>
    </w:lvl>
    <w:lvl w:ilvl="5">
      <w:start w:val="0"/>
      <w:numFmt w:val="bullet"/>
      <w:lvlText w:val="•"/>
      <w:lvlJc w:val="left"/>
      <w:pPr>
        <w:ind w:left="6012" w:hanging="340"/>
      </w:pPr>
      <w:rPr>
        <w:rFonts w:hint="default"/>
        <w:lang w:val="en-gb" w:eastAsia="en-US" w:bidi="ar-SA"/>
      </w:rPr>
    </w:lvl>
    <w:lvl w:ilvl="6">
      <w:start w:val="0"/>
      <w:numFmt w:val="bullet"/>
      <w:lvlText w:val="•"/>
      <w:lvlJc w:val="left"/>
      <w:pPr>
        <w:ind w:left="7015" w:hanging="340"/>
      </w:pPr>
      <w:rPr>
        <w:rFonts w:hint="default"/>
        <w:lang w:val="en-gb" w:eastAsia="en-US" w:bidi="ar-SA"/>
      </w:rPr>
    </w:lvl>
    <w:lvl w:ilvl="7">
      <w:start w:val="0"/>
      <w:numFmt w:val="bullet"/>
      <w:lvlText w:val="•"/>
      <w:lvlJc w:val="left"/>
      <w:pPr>
        <w:ind w:left="8017" w:hanging="340"/>
      </w:pPr>
      <w:rPr>
        <w:rFonts w:hint="default"/>
        <w:lang w:val="en-gb" w:eastAsia="en-US" w:bidi="ar-SA"/>
      </w:rPr>
    </w:lvl>
    <w:lvl w:ilvl="8">
      <w:start w:val="0"/>
      <w:numFmt w:val="bullet"/>
      <w:lvlText w:val="•"/>
      <w:lvlJc w:val="left"/>
      <w:pPr>
        <w:ind w:left="9020" w:hanging="340"/>
      </w:pPr>
      <w:rPr>
        <w:rFonts w:hint="default"/>
        <w:lang w:val="en-gb" w:eastAsia="en-US" w:bidi="ar-SA"/>
      </w:rPr>
    </w:lvl>
  </w:abstractNum>
  <w:abstractNum w:abstractNumId="27">
    <w:multiLevelType w:val="hybridMultilevel"/>
    <w:lvl w:ilvl="0">
      <w:start w:val="5"/>
      <w:numFmt w:val="decimal"/>
      <w:lvlText w:val="%1"/>
      <w:lvlJc w:val="left"/>
      <w:pPr>
        <w:ind w:left="560" w:hanging="239"/>
        <w:jc w:val="right"/>
      </w:pPr>
      <w:rPr>
        <w:rFonts w:hint="default" w:ascii="Avenir-Book" w:hAnsi="Avenir-Book" w:eastAsia="Avenir-Book" w:cs="Avenir-Book"/>
        <w:color w:val="231F20"/>
        <w:w w:val="100"/>
        <w:sz w:val="14"/>
        <w:szCs w:val="14"/>
        <w:lang w:val="en-gb" w:eastAsia="en-US" w:bidi="ar-SA"/>
      </w:rPr>
    </w:lvl>
    <w:lvl w:ilvl="1">
      <w:start w:val="0"/>
      <w:numFmt w:val="bullet"/>
      <w:lvlText w:val="–"/>
      <w:lvlJc w:val="left"/>
      <w:pPr>
        <w:ind w:left="1267" w:hanging="340"/>
      </w:pPr>
      <w:rPr>
        <w:rFonts w:hint="default" w:ascii="Avenir-Book" w:hAnsi="Avenir-Book" w:eastAsia="Avenir-Book" w:cs="Avenir-Book"/>
        <w:color w:val="231F20"/>
        <w:w w:val="100"/>
        <w:sz w:val="22"/>
        <w:szCs w:val="22"/>
        <w:lang w:val="en-gb" w:eastAsia="en-US" w:bidi="ar-SA"/>
      </w:rPr>
    </w:lvl>
    <w:lvl w:ilvl="2">
      <w:start w:val="0"/>
      <w:numFmt w:val="bullet"/>
      <w:lvlText w:val="•"/>
      <w:lvlJc w:val="left"/>
      <w:pPr>
        <w:ind w:left="7400" w:hanging="340"/>
      </w:pPr>
      <w:rPr>
        <w:rFonts w:hint="default"/>
        <w:lang w:val="en-gb" w:eastAsia="en-US" w:bidi="ar-SA"/>
      </w:rPr>
    </w:lvl>
    <w:lvl w:ilvl="3">
      <w:start w:val="0"/>
      <w:numFmt w:val="bullet"/>
      <w:lvlText w:val="•"/>
      <w:lvlJc w:val="left"/>
      <w:pPr>
        <w:ind w:left="7853" w:hanging="340"/>
      </w:pPr>
      <w:rPr>
        <w:rFonts w:hint="default"/>
        <w:lang w:val="en-gb" w:eastAsia="en-US" w:bidi="ar-SA"/>
      </w:rPr>
    </w:lvl>
    <w:lvl w:ilvl="4">
      <w:start w:val="0"/>
      <w:numFmt w:val="bullet"/>
      <w:lvlText w:val="•"/>
      <w:lvlJc w:val="left"/>
      <w:pPr>
        <w:ind w:left="8306" w:hanging="340"/>
      </w:pPr>
      <w:rPr>
        <w:rFonts w:hint="default"/>
        <w:lang w:val="en-gb" w:eastAsia="en-US" w:bidi="ar-SA"/>
      </w:rPr>
    </w:lvl>
    <w:lvl w:ilvl="5">
      <w:start w:val="0"/>
      <w:numFmt w:val="bullet"/>
      <w:lvlText w:val="•"/>
      <w:lvlJc w:val="left"/>
      <w:pPr>
        <w:ind w:left="8759" w:hanging="340"/>
      </w:pPr>
      <w:rPr>
        <w:rFonts w:hint="default"/>
        <w:lang w:val="en-gb" w:eastAsia="en-US" w:bidi="ar-SA"/>
      </w:rPr>
    </w:lvl>
    <w:lvl w:ilvl="6">
      <w:start w:val="0"/>
      <w:numFmt w:val="bullet"/>
      <w:lvlText w:val="•"/>
      <w:lvlJc w:val="left"/>
      <w:pPr>
        <w:ind w:left="9212" w:hanging="340"/>
      </w:pPr>
      <w:rPr>
        <w:rFonts w:hint="default"/>
        <w:lang w:val="en-gb" w:eastAsia="en-US" w:bidi="ar-SA"/>
      </w:rPr>
    </w:lvl>
    <w:lvl w:ilvl="7">
      <w:start w:val="0"/>
      <w:numFmt w:val="bullet"/>
      <w:lvlText w:val="•"/>
      <w:lvlJc w:val="left"/>
      <w:pPr>
        <w:ind w:left="9665" w:hanging="340"/>
      </w:pPr>
      <w:rPr>
        <w:rFonts w:hint="default"/>
        <w:lang w:val="en-gb" w:eastAsia="en-US" w:bidi="ar-SA"/>
      </w:rPr>
    </w:lvl>
    <w:lvl w:ilvl="8">
      <w:start w:val="0"/>
      <w:numFmt w:val="bullet"/>
      <w:lvlText w:val="•"/>
      <w:lvlJc w:val="left"/>
      <w:pPr>
        <w:ind w:left="10119" w:hanging="340"/>
      </w:pPr>
      <w:rPr>
        <w:rFonts w:hint="default"/>
        <w:lang w:val="en-gb" w:eastAsia="en-US" w:bidi="ar-SA"/>
      </w:rPr>
    </w:lvl>
  </w:abstractNum>
  <w:abstractNum w:abstractNumId="26">
    <w:multiLevelType w:val="hybridMultilevel"/>
    <w:lvl w:ilvl="0">
      <w:start w:val="1"/>
      <w:numFmt w:val="decimal"/>
      <w:lvlText w:val="%1"/>
      <w:lvlJc w:val="left"/>
      <w:pPr>
        <w:ind w:left="599" w:hanging="239"/>
        <w:jc w:val="left"/>
      </w:pPr>
      <w:rPr>
        <w:rFonts w:hint="default" w:ascii="Avenir-Book" w:hAnsi="Avenir-Book" w:eastAsia="Avenir-Book" w:cs="Avenir-Book"/>
        <w:color w:val="231F20"/>
        <w:w w:val="100"/>
        <w:sz w:val="14"/>
        <w:szCs w:val="14"/>
        <w:lang w:val="en-gb" w:eastAsia="en-US" w:bidi="ar-SA"/>
      </w:rPr>
    </w:lvl>
    <w:lvl w:ilvl="1">
      <w:start w:val="0"/>
      <w:numFmt w:val="bullet"/>
      <w:lvlText w:val="•"/>
      <w:lvlJc w:val="left"/>
      <w:pPr>
        <w:ind w:left="7400" w:hanging="239"/>
      </w:pPr>
      <w:rPr>
        <w:rFonts w:hint="default"/>
        <w:lang w:val="en-gb" w:eastAsia="en-US" w:bidi="ar-SA"/>
      </w:rPr>
    </w:lvl>
    <w:lvl w:ilvl="2">
      <w:start w:val="0"/>
      <w:numFmt w:val="bullet"/>
      <w:lvlText w:val="•"/>
      <w:lvlJc w:val="left"/>
      <w:pPr>
        <w:ind w:left="7802" w:hanging="239"/>
      </w:pPr>
      <w:rPr>
        <w:rFonts w:hint="default"/>
        <w:lang w:val="en-gb" w:eastAsia="en-US" w:bidi="ar-SA"/>
      </w:rPr>
    </w:lvl>
    <w:lvl w:ilvl="3">
      <w:start w:val="0"/>
      <w:numFmt w:val="bullet"/>
      <w:lvlText w:val="•"/>
      <w:lvlJc w:val="left"/>
      <w:pPr>
        <w:ind w:left="8205" w:hanging="239"/>
      </w:pPr>
      <w:rPr>
        <w:rFonts w:hint="default"/>
        <w:lang w:val="en-gb" w:eastAsia="en-US" w:bidi="ar-SA"/>
      </w:rPr>
    </w:lvl>
    <w:lvl w:ilvl="4">
      <w:start w:val="0"/>
      <w:numFmt w:val="bullet"/>
      <w:lvlText w:val="•"/>
      <w:lvlJc w:val="left"/>
      <w:pPr>
        <w:ind w:left="8608" w:hanging="239"/>
      </w:pPr>
      <w:rPr>
        <w:rFonts w:hint="default"/>
        <w:lang w:val="en-gb" w:eastAsia="en-US" w:bidi="ar-SA"/>
      </w:rPr>
    </w:lvl>
    <w:lvl w:ilvl="5">
      <w:start w:val="0"/>
      <w:numFmt w:val="bullet"/>
      <w:lvlText w:val="•"/>
      <w:lvlJc w:val="left"/>
      <w:pPr>
        <w:ind w:left="9011" w:hanging="239"/>
      </w:pPr>
      <w:rPr>
        <w:rFonts w:hint="default"/>
        <w:lang w:val="en-gb" w:eastAsia="en-US" w:bidi="ar-SA"/>
      </w:rPr>
    </w:lvl>
    <w:lvl w:ilvl="6">
      <w:start w:val="0"/>
      <w:numFmt w:val="bullet"/>
      <w:lvlText w:val="•"/>
      <w:lvlJc w:val="left"/>
      <w:pPr>
        <w:ind w:left="9414" w:hanging="239"/>
      </w:pPr>
      <w:rPr>
        <w:rFonts w:hint="default"/>
        <w:lang w:val="en-gb" w:eastAsia="en-US" w:bidi="ar-SA"/>
      </w:rPr>
    </w:lvl>
    <w:lvl w:ilvl="7">
      <w:start w:val="0"/>
      <w:numFmt w:val="bullet"/>
      <w:lvlText w:val="•"/>
      <w:lvlJc w:val="left"/>
      <w:pPr>
        <w:ind w:left="9817" w:hanging="239"/>
      </w:pPr>
      <w:rPr>
        <w:rFonts w:hint="default"/>
        <w:lang w:val="en-gb" w:eastAsia="en-US" w:bidi="ar-SA"/>
      </w:rPr>
    </w:lvl>
    <w:lvl w:ilvl="8">
      <w:start w:val="0"/>
      <w:numFmt w:val="bullet"/>
      <w:lvlText w:val="•"/>
      <w:lvlJc w:val="left"/>
      <w:pPr>
        <w:ind w:left="10219" w:hanging="239"/>
      </w:pPr>
      <w:rPr>
        <w:rFonts w:hint="default"/>
        <w:lang w:val="en-gb" w:eastAsia="en-US" w:bidi="ar-SA"/>
      </w:rPr>
    </w:lvl>
  </w:abstractNum>
  <w:abstractNum w:abstractNumId="25">
    <w:multiLevelType w:val="hybridMultilevel"/>
    <w:lvl w:ilvl="0">
      <w:start w:val="1"/>
      <w:numFmt w:val="lowerLetter"/>
      <w:lvlText w:val="%1."/>
      <w:lvlJc w:val="left"/>
      <w:pPr>
        <w:ind w:left="10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615" w:hanging="220"/>
      </w:pPr>
      <w:rPr>
        <w:rFonts w:hint="default"/>
        <w:lang w:val="en-gb" w:eastAsia="en-US" w:bidi="ar-SA"/>
      </w:rPr>
    </w:lvl>
    <w:lvl w:ilvl="2">
      <w:start w:val="0"/>
      <w:numFmt w:val="bullet"/>
      <w:lvlText w:val="•"/>
      <w:lvlJc w:val="left"/>
      <w:pPr>
        <w:ind w:left="1130" w:hanging="220"/>
      </w:pPr>
      <w:rPr>
        <w:rFonts w:hint="default"/>
        <w:lang w:val="en-gb" w:eastAsia="en-US" w:bidi="ar-SA"/>
      </w:rPr>
    </w:lvl>
    <w:lvl w:ilvl="3">
      <w:start w:val="0"/>
      <w:numFmt w:val="bullet"/>
      <w:lvlText w:val="•"/>
      <w:lvlJc w:val="left"/>
      <w:pPr>
        <w:ind w:left="1645" w:hanging="220"/>
      </w:pPr>
      <w:rPr>
        <w:rFonts w:hint="default"/>
        <w:lang w:val="en-gb" w:eastAsia="en-US" w:bidi="ar-SA"/>
      </w:rPr>
    </w:lvl>
    <w:lvl w:ilvl="4">
      <w:start w:val="0"/>
      <w:numFmt w:val="bullet"/>
      <w:lvlText w:val="•"/>
      <w:lvlJc w:val="left"/>
      <w:pPr>
        <w:ind w:left="2161" w:hanging="220"/>
      </w:pPr>
      <w:rPr>
        <w:rFonts w:hint="default"/>
        <w:lang w:val="en-gb" w:eastAsia="en-US" w:bidi="ar-SA"/>
      </w:rPr>
    </w:lvl>
    <w:lvl w:ilvl="5">
      <w:start w:val="0"/>
      <w:numFmt w:val="bullet"/>
      <w:lvlText w:val="•"/>
      <w:lvlJc w:val="left"/>
      <w:pPr>
        <w:ind w:left="2676" w:hanging="220"/>
      </w:pPr>
      <w:rPr>
        <w:rFonts w:hint="default"/>
        <w:lang w:val="en-gb" w:eastAsia="en-US" w:bidi="ar-SA"/>
      </w:rPr>
    </w:lvl>
    <w:lvl w:ilvl="6">
      <w:start w:val="0"/>
      <w:numFmt w:val="bullet"/>
      <w:lvlText w:val="•"/>
      <w:lvlJc w:val="left"/>
      <w:pPr>
        <w:ind w:left="3191" w:hanging="220"/>
      </w:pPr>
      <w:rPr>
        <w:rFonts w:hint="default"/>
        <w:lang w:val="en-gb" w:eastAsia="en-US" w:bidi="ar-SA"/>
      </w:rPr>
    </w:lvl>
    <w:lvl w:ilvl="7">
      <w:start w:val="0"/>
      <w:numFmt w:val="bullet"/>
      <w:lvlText w:val="•"/>
      <w:lvlJc w:val="left"/>
      <w:pPr>
        <w:ind w:left="3707" w:hanging="220"/>
      </w:pPr>
      <w:rPr>
        <w:rFonts w:hint="default"/>
        <w:lang w:val="en-gb" w:eastAsia="en-US" w:bidi="ar-SA"/>
      </w:rPr>
    </w:lvl>
    <w:lvl w:ilvl="8">
      <w:start w:val="0"/>
      <w:numFmt w:val="bullet"/>
      <w:lvlText w:val="•"/>
      <w:lvlJc w:val="left"/>
      <w:pPr>
        <w:ind w:left="4222" w:hanging="220"/>
      </w:pPr>
      <w:rPr>
        <w:rFonts w:hint="default"/>
        <w:lang w:val="en-gb" w:eastAsia="en-US" w:bidi="ar-SA"/>
      </w:rPr>
    </w:lvl>
  </w:abstractNum>
  <w:abstractNum w:abstractNumId="24">
    <w:multiLevelType w:val="hybridMultilevel"/>
    <w:lvl w:ilvl="0">
      <w:start w:val="1"/>
      <w:numFmt w:val="lowerLetter"/>
      <w:lvlText w:val="%1."/>
      <w:lvlJc w:val="left"/>
      <w:pPr>
        <w:ind w:left="103"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412" w:hanging="220"/>
      </w:pPr>
      <w:rPr>
        <w:rFonts w:hint="default"/>
        <w:lang w:val="en-gb" w:eastAsia="en-US" w:bidi="ar-SA"/>
      </w:rPr>
    </w:lvl>
    <w:lvl w:ilvl="2">
      <w:start w:val="0"/>
      <w:numFmt w:val="bullet"/>
      <w:lvlText w:val="•"/>
      <w:lvlJc w:val="left"/>
      <w:pPr>
        <w:ind w:left="724" w:hanging="220"/>
      </w:pPr>
      <w:rPr>
        <w:rFonts w:hint="default"/>
        <w:lang w:val="en-gb" w:eastAsia="en-US" w:bidi="ar-SA"/>
      </w:rPr>
    </w:lvl>
    <w:lvl w:ilvl="3">
      <w:start w:val="0"/>
      <w:numFmt w:val="bullet"/>
      <w:lvlText w:val="•"/>
      <w:lvlJc w:val="left"/>
      <w:pPr>
        <w:ind w:left="1036" w:hanging="220"/>
      </w:pPr>
      <w:rPr>
        <w:rFonts w:hint="default"/>
        <w:lang w:val="en-gb" w:eastAsia="en-US" w:bidi="ar-SA"/>
      </w:rPr>
    </w:lvl>
    <w:lvl w:ilvl="4">
      <w:start w:val="0"/>
      <w:numFmt w:val="bullet"/>
      <w:lvlText w:val="•"/>
      <w:lvlJc w:val="left"/>
      <w:pPr>
        <w:ind w:left="1349" w:hanging="220"/>
      </w:pPr>
      <w:rPr>
        <w:rFonts w:hint="default"/>
        <w:lang w:val="en-gb" w:eastAsia="en-US" w:bidi="ar-SA"/>
      </w:rPr>
    </w:lvl>
    <w:lvl w:ilvl="5">
      <w:start w:val="0"/>
      <w:numFmt w:val="bullet"/>
      <w:lvlText w:val="•"/>
      <w:lvlJc w:val="left"/>
      <w:pPr>
        <w:ind w:left="1661" w:hanging="220"/>
      </w:pPr>
      <w:rPr>
        <w:rFonts w:hint="default"/>
        <w:lang w:val="en-gb" w:eastAsia="en-US" w:bidi="ar-SA"/>
      </w:rPr>
    </w:lvl>
    <w:lvl w:ilvl="6">
      <w:start w:val="0"/>
      <w:numFmt w:val="bullet"/>
      <w:lvlText w:val="•"/>
      <w:lvlJc w:val="left"/>
      <w:pPr>
        <w:ind w:left="1973" w:hanging="220"/>
      </w:pPr>
      <w:rPr>
        <w:rFonts w:hint="default"/>
        <w:lang w:val="en-gb" w:eastAsia="en-US" w:bidi="ar-SA"/>
      </w:rPr>
    </w:lvl>
    <w:lvl w:ilvl="7">
      <w:start w:val="0"/>
      <w:numFmt w:val="bullet"/>
      <w:lvlText w:val="•"/>
      <w:lvlJc w:val="left"/>
      <w:pPr>
        <w:ind w:left="2286" w:hanging="220"/>
      </w:pPr>
      <w:rPr>
        <w:rFonts w:hint="default"/>
        <w:lang w:val="en-gb" w:eastAsia="en-US" w:bidi="ar-SA"/>
      </w:rPr>
    </w:lvl>
    <w:lvl w:ilvl="8">
      <w:start w:val="0"/>
      <w:numFmt w:val="bullet"/>
      <w:lvlText w:val="•"/>
      <w:lvlJc w:val="left"/>
      <w:pPr>
        <w:ind w:left="2598" w:hanging="220"/>
      </w:pPr>
      <w:rPr>
        <w:rFonts w:hint="default"/>
        <w:lang w:val="en-gb" w:eastAsia="en-US" w:bidi="ar-SA"/>
      </w:rPr>
    </w:lvl>
  </w:abstractNum>
  <w:abstractNum w:abstractNumId="23">
    <w:multiLevelType w:val="hybridMultilevel"/>
    <w:lvl w:ilvl="0">
      <w:start w:val="1"/>
      <w:numFmt w:val="lowerLetter"/>
      <w:lvlText w:val="%1."/>
      <w:lvlJc w:val="left"/>
      <w:pPr>
        <w:ind w:left="10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615" w:hanging="220"/>
      </w:pPr>
      <w:rPr>
        <w:rFonts w:hint="default"/>
        <w:lang w:val="en-gb" w:eastAsia="en-US" w:bidi="ar-SA"/>
      </w:rPr>
    </w:lvl>
    <w:lvl w:ilvl="2">
      <w:start w:val="0"/>
      <w:numFmt w:val="bullet"/>
      <w:lvlText w:val="•"/>
      <w:lvlJc w:val="left"/>
      <w:pPr>
        <w:ind w:left="1130" w:hanging="220"/>
      </w:pPr>
      <w:rPr>
        <w:rFonts w:hint="default"/>
        <w:lang w:val="en-gb" w:eastAsia="en-US" w:bidi="ar-SA"/>
      </w:rPr>
    </w:lvl>
    <w:lvl w:ilvl="3">
      <w:start w:val="0"/>
      <w:numFmt w:val="bullet"/>
      <w:lvlText w:val="•"/>
      <w:lvlJc w:val="left"/>
      <w:pPr>
        <w:ind w:left="1645" w:hanging="220"/>
      </w:pPr>
      <w:rPr>
        <w:rFonts w:hint="default"/>
        <w:lang w:val="en-gb" w:eastAsia="en-US" w:bidi="ar-SA"/>
      </w:rPr>
    </w:lvl>
    <w:lvl w:ilvl="4">
      <w:start w:val="0"/>
      <w:numFmt w:val="bullet"/>
      <w:lvlText w:val="•"/>
      <w:lvlJc w:val="left"/>
      <w:pPr>
        <w:ind w:left="2161" w:hanging="220"/>
      </w:pPr>
      <w:rPr>
        <w:rFonts w:hint="default"/>
        <w:lang w:val="en-gb" w:eastAsia="en-US" w:bidi="ar-SA"/>
      </w:rPr>
    </w:lvl>
    <w:lvl w:ilvl="5">
      <w:start w:val="0"/>
      <w:numFmt w:val="bullet"/>
      <w:lvlText w:val="•"/>
      <w:lvlJc w:val="left"/>
      <w:pPr>
        <w:ind w:left="2676" w:hanging="220"/>
      </w:pPr>
      <w:rPr>
        <w:rFonts w:hint="default"/>
        <w:lang w:val="en-gb" w:eastAsia="en-US" w:bidi="ar-SA"/>
      </w:rPr>
    </w:lvl>
    <w:lvl w:ilvl="6">
      <w:start w:val="0"/>
      <w:numFmt w:val="bullet"/>
      <w:lvlText w:val="•"/>
      <w:lvlJc w:val="left"/>
      <w:pPr>
        <w:ind w:left="3191" w:hanging="220"/>
      </w:pPr>
      <w:rPr>
        <w:rFonts w:hint="default"/>
        <w:lang w:val="en-gb" w:eastAsia="en-US" w:bidi="ar-SA"/>
      </w:rPr>
    </w:lvl>
    <w:lvl w:ilvl="7">
      <w:start w:val="0"/>
      <w:numFmt w:val="bullet"/>
      <w:lvlText w:val="•"/>
      <w:lvlJc w:val="left"/>
      <w:pPr>
        <w:ind w:left="3707" w:hanging="220"/>
      </w:pPr>
      <w:rPr>
        <w:rFonts w:hint="default"/>
        <w:lang w:val="en-gb" w:eastAsia="en-US" w:bidi="ar-SA"/>
      </w:rPr>
    </w:lvl>
    <w:lvl w:ilvl="8">
      <w:start w:val="0"/>
      <w:numFmt w:val="bullet"/>
      <w:lvlText w:val="•"/>
      <w:lvlJc w:val="left"/>
      <w:pPr>
        <w:ind w:left="4222" w:hanging="220"/>
      </w:pPr>
      <w:rPr>
        <w:rFonts w:hint="default"/>
        <w:lang w:val="en-gb" w:eastAsia="en-US" w:bidi="ar-SA"/>
      </w:rPr>
    </w:lvl>
  </w:abstractNum>
  <w:abstractNum w:abstractNumId="22">
    <w:multiLevelType w:val="hybridMultilevel"/>
    <w:lvl w:ilvl="0">
      <w:start w:val="1"/>
      <w:numFmt w:val="lowerLetter"/>
      <w:lvlText w:val="%1."/>
      <w:lvlJc w:val="left"/>
      <w:pPr>
        <w:ind w:left="103"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412" w:hanging="220"/>
      </w:pPr>
      <w:rPr>
        <w:rFonts w:hint="default"/>
        <w:lang w:val="en-gb" w:eastAsia="en-US" w:bidi="ar-SA"/>
      </w:rPr>
    </w:lvl>
    <w:lvl w:ilvl="2">
      <w:start w:val="0"/>
      <w:numFmt w:val="bullet"/>
      <w:lvlText w:val="•"/>
      <w:lvlJc w:val="left"/>
      <w:pPr>
        <w:ind w:left="724" w:hanging="220"/>
      </w:pPr>
      <w:rPr>
        <w:rFonts w:hint="default"/>
        <w:lang w:val="en-gb" w:eastAsia="en-US" w:bidi="ar-SA"/>
      </w:rPr>
    </w:lvl>
    <w:lvl w:ilvl="3">
      <w:start w:val="0"/>
      <w:numFmt w:val="bullet"/>
      <w:lvlText w:val="•"/>
      <w:lvlJc w:val="left"/>
      <w:pPr>
        <w:ind w:left="1036" w:hanging="220"/>
      </w:pPr>
      <w:rPr>
        <w:rFonts w:hint="default"/>
        <w:lang w:val="en-gb" w:eastAsia="en-US" w:bidi="ar-SA"/>
      </w:rPr>
    </w:lvl>
    <w:lvl w:ilvl="4">
      <w:start w:val="0"/>
      <w:numFmt w:val="bullet"/>
      <w:lvlText w:val="•"/>
      <w:lvlJc w:val="left"/>
      <w:pPr>
        <w:ind w:left="1349" w:hanging="220"/>
      </w:pPr>
      <w:rPr>
        <w:rFonts w:hint="default"/>
        <w:lang w:val="en-gb" w:eastAsia="en-US" w:bidi="ar-SA"/>
      </w:rPr>
    </w:lvl>
    <w:lvl w:ilvl="5">
      <w:start w:val="0"/>
      <w:numFmt w:val="bullet"/>
      <w:lvlText w:val="•"/>
      <w:lvlJc w:val="left"/>
      <w:pPr>
        <w:ind w:left="1661" w:hanging="220"/>
      </w:pPr>
      <w:rPr>
        <w:rFonts w:hint="default"/>
        <w:lang w:val="en-gb" w:eastAsia="en-US" w:bidi="ar-SA"/>
      </w:rPr>
    </w:lvl>
    <w:lvl w:ilvl="6">
      <w:start w:val="0"/>
      <w:numFmt w:val="bullet"/>
      <w:lvlText w:val="•"/>
      <w:lvlJc w:val="left"/>
      <w:pPr>
        <w:ind w:left="1973" w:hanging="220"/>
      </w:pPr>
      <w:rPr>
        <w:rFonts w:hint="default"/>
        <w:lang w:val="en-gb" w:eastAsia="en-US" w:bidi="ar-SA"/>
      </w:rPr>
    </w:lvl>
    <w:lvl w:ilvl="7">
      <w:start w:val="0"/>
      <w:numFmt w:val="bullet"/>
      <w:lvlText w:val="•"/>
      <w:lvlJc w:val="left"/>
      <w:pPr>
        <w:ind w:left="2286" w:hanging="220"/>
      </w:pPr>
      <w:rPr>
        <w:rFonts w:hint="default"/>
        <w:lang w:val="en-gb" w:eastAsia="en-US" w:bidi="ar-SA"/>
      </w:rPr>
    </w:lvl>
    <w:lvl w:ilvl="8">
      <w:start w:val="0"/>
      <w:numFmt w:val="bullet"/>
      <w:lvlText w:val="•"/>
      <w:lvlJc w:val="left"/>
      <w:pPr>
        <w:ind w:left="2598" w:hanging="220"/>
      </w:pPr>
      <w:rPr>
        <w:rFonts w:hint="default"/>
        <w:lang w:val="en-gb" w:eastAsia="en-US" w:bidi="ar-SA"/>
      </w:rPr>
    </w:lvl>
  </w:abstractNum>
  <w:abstractNum w:abstractNumId="21">
    <w:multiLevelType w:val="hybridMultilevel"/>
    <w:lvl w:ilvl="0">
      <w:start w:val="1"/>
      <w:numFmt w:val="lowerLetter"/>
      <w:lvlText w:val="%1."/>
      <w:lvlJc w:val="left"/>
      <w:pPr>
        <w:ind w:left="32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813" w:hanging="220"/>
      </w:pPr>
      <w:rPr>
        <w:rFonts w:hint="default"/>
        <w:lang w:val="en-gb" w:eastAsia="en-US" w:bidi="ar-SA"/>
      </w:rPr>
    </w:lvl>
    <w:lvl w:ilvl="2">
      <w:start w:val="0"/>
      <w:numFmt w:val="bullet"/>
      <w:lvlText w:val="•"/>
      <w:lvlJc w:val="left"/>
      <w:pPr>
        <w:ind w:left="1306" w:hanging="220"/>
      </w:pPr>
      <w:rPr>
        <w:rFonts w:hint="default"/>
        <w:lang w:val="en-gb" w:eastAsia="en-US" w:bidi="ar-SA"/>
      </w:rPr>
    </w:lvl>
    <w:lvl w:ilvl="3">
      <w:start w:val="0"/>
      <w:numFmt w:val="bullet"/>
      <w:lvlText w:val="•"/>
      <w:lvlJc w:val="left"/>
      <w:pPr>
        <w:ind w:left="1799" w:hanging="220"/>
      </w:pPr>
      <w:rPr>
        <w:rFonts w:hint="default"/>
        <w:lang w:val="en-gb" w:eastAsia="en-US" w:bidi="ar-SA"/>
      </w:rPr>
    </w:lvl>
    <w:lvl w:ilvl="4">
      <w:start w:val="0"/>
      <w:numFmt w:val="bullet"/>
      <w:lvlText w:val="•"/>
      <w:lvlJc w:val="left"/>
      <w:pPr>
        <w:ind w:left="2293" w:hanging="220"/>
      </w:pPr>
      <w:rPr>
        <w:rFonts w:hint="default"/>
        <w:lang w:val="en-gb" w:eastAsia="en-US" w:bidi="ar-SA"/>
      </w:rPr>
    </w:lvl>
    <w:lvl w:ilvl="5">
      <w:start w:val="0"/>
      <w:numFmt w:val="bullet"/>
      <w:lvlText w:val="•"/>
      <w:lvlJc w:val="left"/>
      <w:pPr>
        <w:ind w:left="2786" w:hanging="220"/>
      </w:pPr>
      <w:rPr>
        <w:rFonts w:hint="default"/>
        <w:lang w:val="en-gb" w:eastAsia="en-US" w:bidi="ar-SA"/>
      </w:rPr>
    </w:lvl>
    <w:lvl w:ilvl="6">
      <w:start w:val="0"/>
      <w:numFmt w:val="bullet"/>
      <w:lvlText w:val="•"/>
      <w:lvlJc w:val="left"/>
      <w:pPr>
        <w:ind w:left="3279" w:hanging="220"/>
      </w:pPr>
      <w:rPr>
        <w:rFonts w:hint="default"/>
        <w:lang w:val="en-gb" w:eastAsia="en-US" w:bidi="ar-SA"/>
      </w:rPr>
    </w:lvl>
    <w:lvl w:ilvl="7">
      <w:start w:val="0"/>
      <w:numFmt w:val="bullet"/>
      <w:lvlText w:val="•"/>
      <w:lvlJc w:val="left"/>
      <w:pPr>
        <w:ind w:left="3773" w:hanging="220"/>
      </w:pPr>
      <w:rPr>
        <w:rFonts w:hint="default"/>
        <w:lang w:val="en-gb" w:eastAsia="en-US" w:bidi="ar-SA"/>
      </w:rPr>
    </w:lvl>
    <w:lvl w:ilvl="8">
      <w:start w:val="0"/>
      <w:numFmt w:val="bullet"/>
      <w:lvlText w:val="•"/>
      <w:lvlJc w:val="left"/>
      <w:pPr>
        <w:ind w:left="4266" w:hanging="220"/>
      </w:pPr>
      <w:rPr>
        <w:rFonts w:hint="default"/>
        <w:lang w:val="en-gb" w:eastAsia="en-US" w:bidi="ar-SA"/>
      </w:rPr>
    </w:lvl>
  </w:abstractNum>
  <w:abstractNum w:abstractNumId="20">
    <w:multiLevelType w:val="hybridMultilevel"/>
    <w:lvl w:ilvl="0">
      <w:start w:val="1"/>
      <w:numFmt w:val="lowerLetter"/>
      <w:lvlText w:val="%1."/>
      <w:lvlJc w:val="left"/>
      <w:pPr>
        <w:ind w:left="32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610" w:hanging="220"/>
      </w:pPr>
      <w:rPr>
        <w:rFonts w:hint="default"/>
        <w:lang w:val="en-gb" w:eastAsia="en-US" w:bidi="ar-SA"/>
      </w:rPr>
    </w:lvl>
    <w:lvl w:ilvl="2">
      <w:start w:val="0"/>
      <w:numFmt w:val="bullet"/>
      <w:lvlText w:val="•"/>
      <w:lvlJc w:val="left"/>
      <w:pPr>
        <w:ind w:left="900" w:hanging="220"/>
      </w:pPr>
      <w:rPr>
        <w:rFonts w:hint="default"/>
        <w:lang w:val="en-gb" w:eastAsia="en-US" w:bidi="ar-SA"/>
      </w:rPr>
    </w:lvl>
    <w:lvl w:ilvl="3">
      <w:start w:val="0"/>
      <w:numFmt w:val="bullet"/>
      <w:lvlText w:val="•"/>
      <w:lvlJc w:val="left"/>
      <w:pPr>
        <w:ind w:left="1190" w:hanging="220"/>
      </w:pPr>
      <w:rPr>
        <w:rFonts w:hint="default"/>
        <w:lang w:val="en-gb" w:eastAsia="en-US" w:bidi="ar-SA"/>
      </w:rPr>
    </w:lvl>
    <w:lvl w:ilvl="4">
      <w:start w:val="0"/>
      <w:numFmt w:val="bullet"/>
      <w:lvlText w:val="•"/>
      <w:lvlJc w:val="left"/>
      <w:pPr>
        <w:ind w:left="1481" w:hanging="220"/>
      </w:pPr>
      <w:rPr>
        <w:rFonts w:hint="default"/>
        <w:lang w:val="en-gb" w:eastAsia="en-US" w:bidi="ar-SA"/>
      </w:rPr>
    </w:lvl>
    <w:lvl w:ilvl="5">
      <w:start w:val="0"/>
      <w:numFmt w:val="bullet"/>
      <w:lvlText w:val="•"/>
      <w:lvlJc w:val="left"/>
      <w:pPr>
        <w:ind w:left="1771" w:hanging="220"/>
      </w:pPr>
      <w:rPr>
        <w:rFonts w:hint="default"/>
        <w:lang w:val="en-gb" w:eastAsia="en-US" w:bidi="ar-SA"/>
      </w:rPr>
    </w:lvl>
    <w:lvl w:ilvl="6">
      <w:start w:val="0"/>
      <w:numFmt w:val="bullet"/>
      <w:lvlText w:val="•"/>
      <w:lvlJc w:val="left"/>
      <w:pPr>
        <w:ind w:left="2061" w:hanging="220"/>
      </w:pPr>
      <w:rPr>
        <w:rFonts w:hint="default"/>
        <w:lang w:val="en-gb" w:eastAsia="en-US" w:bidi="ar-SA"/>
      </w:rPr>
    </w:lvl>
    <w:lvl w:ilvl="7">
      <w:start w:val="0"/>
      <w:numFmt w:val="bullet"/>
      <w:lvlText w:val="•"/>
      <w:lvlJc w:val="left"/>
      <w:pPr>
        <w:ind w:left="2352" w:hanging="220"/>
      </w:pPr>
      <w:rPr>
        <w:rFonts w:hint="default"/>
        <w:lang w:val="en-gb" w:eastAsia="en-US" w:bidi="ar-SA"/>
      </w:rPr>
    </w:lvl>
    <w:lvl w:ilvl="8">
      <w:start w:val="0"/>
      <w:numFmt w:val="bullet"/>
      <w:lvlText w:val="•"/>
      <w:lvlJc w:val="left"/>
      <w:pPr>
        <w:ind w:left="2642" w:hanging="220"/>
      </w:pPr>
      <w:rPr>
        <w:rFonts w:hint="default"/>
        <w:lang w:val="en-gb" w:eastAsia="en-US" w:bidi="ar-SA"/>
      </w:rPr>
    </w:lvl>
  </w:abstractNum>
  <w:abstractNum w:abstractNumId="19">
    <w:multiLevelType w:val="hybridMultilevel"/>
    <w:lvl w:ilvl="0">
      <w:start w:val="1"/>
      <w:numFmt w:val="lowerLetter"/>
      <w:lvlText w:val="%1."/>
      <w:lvlJc w:val="left"/>
      <w:pPr>
        <w:ind w:left="10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615" w:hanging="220"/>
      </w:pPr>
      <w:rPr>
        <w:rFonts w:hint="default"/>
        <w:lang w:val="en-gb" w:eastAsia="en-US" w:bidi="ar-SA"/>
      </w:rPr>
    </w:lvl>
    <w:lvl w:ilvl="2">
      <w:start w:val="0"/>
      <w:numFmt w:val="bullet"/>
      <w:lvlText w:val="•"/>
      <w:lvlJc w:val="left"/>
      <w:pPr>
        <w:ind w:left="1130" w:hanging="220"/>
      </w:pPr>
      <w:rPr>
        <w:rFonts w:hint="default"/>
        <w:lang w:val="en-gb" w:eastAsia="en-US" w:bidi="ar-SA"/>
      </w:rPr>
    </w:lvl>
    <w:lvl w:ilvl="3">
      <w:start w:val="0"/>
      <w:numFmt w:val="bullet"/>
      <w:lvlText w:val="•"/>
      <w:lvlJc w:val="left"/>
      <w:pPr>
        <w:ind w:left="1645" w:hanging="220"/>
      </w:pPr>
      <w:rPr>
        <w:rFonts w:hint="default"/>
        <w:lang w:val="en-gb" w:eastAsia="en-US" w:bidi="ar-SA"/>
      </w:rPr>
    </w:lvl>
    <w:lvl w:ilvl="4">
      <w:start w:val="0"/>
      <w:numFmt w:val="bullet"/>
      <w:lvlText w:val="•"/>
      <w:lvlJc w:val="left"/>
      <w:pPr>
        <w:ind w:left="2161" w:hanging="220"/>
      </w:pPr>
      <w:rPr>
        <w:rFonts w:hint="default"/>
        <w:lang w:val="en-gb" w:eastAsia="en-US" w:bidi="ar-SA"/>
      </w:rPr>
    </w:lvl>
    <w:lvl w:ilvl="5">
      <w:start w:val="0"/>
      <w:numFmt w:val="bullet"/>
      <w:lvlText w:val="•"/>
      <w:lvlJc w:val="left"/>
      <w:pPr>
        <w:ind w:left="2676" w:hanging="220"/>
      </w:pPr>
      <w:rPr>
        <w:rFonts w:hint="default"/>
        <w:lang w:val="en-gb" w:eastAsia="en-US" w:bidi="ar-SA"/>
      </w:rPr>
    </w:lvl>
    <w:lvl w:ilvl="6">
      <w:start w:val="0"/>
      <w:numFmt w:val="bullet"/>
      <w:lvlText w:val="•"/>
      <w:lvlJc w:val="left"/>
      <w:pPr>
        <w:ind w:left="3191" w:hanging="220"/>
      </w:pPr>
      <w:rPr>
        <w:rFonts w:hint="default"/>
        <w:lang w:val="en-gb" w:eastAsia="en-US" w:bidi="ar-SA"/>
      </w:rPr>
    </w:lvl>
    <w:lvl w:ilvl="7">
      <w:start w:val="0"/>
      <w:numFmt w:val="bullet"/>
      <w:lvlText w:val="•"/>
      <w:lvlJc w:val="left"/>
      <w:pPr>
        <w:ind w:left="3707" w:hanging="220"/>
      </w:pPr>
      <w:rPr>
        <w:rFonts w:hint="default"/>
        <w:lang w:val="en-gb" w:eastAsia="en-US" w:bidi="ar-SA"/>
      </w:rPr>
    </w:lvl>
    <w:lvl w:ilvl="8">
      <w:start w:val="0"/>
      <w:numFmt w:val="bullet"/>
      <w:lvlText w:val="•"/>
      <w:lvlJc w:val="left"/>
      <w:pPr>
        <w:ind w:left="4222" w:hanging="220"/>
      </w:pPr>
      <w:rPr>
        <w:rFonts w:hint="default"/>
        <w:lang w:val="en-gb" w:eastAsia="en-US" w:bidi="ar-SA"/>
      </w:rPr>
    </w:lvl>
  </w:abstractNum>
  <w:abstractNum w:abstractNumId="18">
    <w:multiLevelType w:val="hybridMultilevel"/>
    <w:lvl w:ilvl="0">
      <w:start w:val="1"/>
      <w:numFmt w:val="lowerLetter"/>
      <w:lvlText w:val="%1."/>
      <w:lvlJc w:val="left"/>
      <w:pPr>
        <w:ind w:left="103"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412" w:hanging="220"/>
      </w:pPr>
      <w:rPr>
        <w:rFonts w:hint="default"/>
        <w:lang w:val="en-gb" w:eastAsia="en-US" w:bidi="ar-SA"/>
      </w:rPr>
    </w:lvl>
    <w:lvl w:ilvl="2">
      <w:start w:val="0"/>
      <w:numFmt w:val="bullet"/>
      <w:lvlText w:val="•"/>
      <w:lvlJc w:val="left"/>
      <w:pPr>
        <w:ind w:left="724" w:hanging="220"/>
      </w:pPr>
      <w:rPr>
        <w:rFonts w:hint="default"/>
        <w:lang w:val="en-gb" w:eastAsia="en-US" w:bidi="ar-SA"/>
      </w:rPr>
    </w:lvl>
    <w:lvl w:ilvl="3">
      <w:start w:val="0"/>
      <w:numFmt w:val="bullet"/>
      <w:lvlText w:val="•"/>
      <w:lvlJc w:val="left"/>
      <w:pPr>
        <w:ind w:left="1036" w:hanging="220"/>
      </w:pPr>
      <w:rPr>
        <w:rFonts w:hint="default"/>
        <w:lang w:val="en-gb" w:eastAsia="en-US" w:bidi="ar-SA"/>
      </w:rPr>
    </w:lvl>
    <w:lvl w:ilvl="4">
      <w:start w:val="0"/>
      <w:numFmt w:val="bullet"/>
      <w:lvlText w:val="•"/>
      <w:lvlJc w:val="left"/>
      <w:pPr>
        <w:ind w:left="1349" w:hanging="220"/>
      </w:pPr>
      <w:rPr>
        <w:rFonts w:hint="default"/>
        <w:lang w:val="en-gb" w:eastAsia="en-US" w:bidi="ar-SA"/>
      </w:rPr>
    </w:lvl>
    <w:lvl w:ilvl="5">
      <w:start w:val="0"/>
      <w:numFmt w:val="bullet"/>
      <w:lvlText w:val="•"/>
      <w:lvlJc w:val="left"/>
      <w:pPr>
        <w:ind w:left="1661" w:hanging="220"/>
      </w:pPr>
      <w:rPr>
        <w:rFonts w:hint="default"/>
        <w:lang w:val="en-gb" w:eastAsia="en-US" w:bidi="ar-SA"/>
      </w:rPr>
    </w:lvl>
    <w:lvl w:ilvl="6">
      <w:start w:val="0"/>
      <w:numFmt w:val="bullet"/>
      <w:lvlText w:val="•"/>
      <w:lvlJc w:val="left"/>
      <w:pPr>
        <w:ind w:left="1973" w:hanging="220"/>
      </w:pPr>
      <w:rPr>
        <w:rFonts w:hint="default"/>
        <w:lang w:val="en-gb" w:eastAsia="en-US" w:bidi="ar-SA"/>
      </w:rPr>
    </w:lvl>
    <w:lvl w:ilvl="7">
      <w:start w:val="0"/>
      <w:numFmt w:val="bullet"/>
      <w:lvlText w:val="•"/>
      <w:lvlJc w:val="left"/>
      <w:pPr>
        <w:ind w:left="2286" w:hanging="220"/>
      </w:pPr>
      <w:rPr>
        <w:rFonts w:hint="default"/>
        <w:lang w:val="en-gb" w:eastAsia="en-US" w:bidi="ar-SA"/>
      </w:rPr>
    </w:lvl>
    <w:lvl w:ilvl="8">
      <w:start w:val="0"/>
      <w:numFmt w:val="bullet"/>
      <w:lvlText w:val="•"/>
      <w:lvlJc w:val="left"/>
      <w:pPr>
        <w:ind w:left="2598" w:hanging="220"/>
      </w:pPr>
      <w:rPr>
        <w:rFonts w:hint="default"/>
        <w:lang w:val="en-gb" w:eastAsia="en-US" w:bidi="ar-SA"/>
      </w:rPr>
    </w:lvl>
  </w:abstractNum>
  <w:abstractNum w:abstractNumId="17">
    <w:multiLevelType w:val="hybridMultilevel"/>
    <w:lvl w:ilvl="0">
      <w:start w:val="1"/>
      <w:numFmt w:val="lowerLetter"/>
      <w:lvlText w:val="%1."/>
      <w:lvlJc w:val="left"/>
      <w:pPr>
        <w:ind w:left="32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813" w:hanging="220"/>
      </w:pPr>
      <w:rPr>
        <w:rFonts w:hint="default"/>
        <w:lang w:val="en-gb" w:eastAsia="en-US" w:bidi="ar-SA"/>
      </w:rPr>
    </w:lvl>
    <w:lvl w:ilvl="2">
      <w:start w:val="0"/>
      <w:numFmt w:val="bullet"/>
      <w:lvlText w:val="•"/>
      <w:lvlJc w:val="left"/>
      <w:pPr>
        <w:ind w:left="1306" w:hanging="220"/>
      </w:pPr>
      <w:rPr>
        <w:rFonts w:hint="default"/>
        <w:lang w:val="en-gb" w:eastAsia="en-US" w:bidi="ar-SA"/>
      </w:rPr>
    </w:lvl>
    <w:lvl w:ilvl="3">
      <w:start w:val="0"/>
      <w:numFmt w:val="bullet"/>
      <w:lvlText w:val="•"/>
      <w:lvlJc w:val="left"/>
      <w:pPr>
        <w:ind w:left="1799" w:hanging="220"/>
      </w:pPr>
      <w:rPr>
        <w:rFonts w:hint="default"/>
        <w:lang w:val="en-gb" w:eastAsia="en-US" w:bidi="ar-SA"/>
      </w:rPr>
    </w:lvl>
    <w:lvl w:ilvl="4">
      <w:start w:val="0"/>
      <w:numFmt w:val="bullet"/>
      <w:lvlText w:val="•"/>
      <w:lvlJc w:val="left"/>
      <w:pPr>
        <w:ind w:left="2293" w:hanging="220"/>
      </w:pPr>
      <w:rPr>
        <w:rFonts w:hint="default"/>
        <w:lang w:val="en-gb" w:eastAsia="en-US" w:bidi="ar-SA"/>
      </w:rPr>
    </w:lvl>
    <w:lvl w:ilvl="5">
      <w:start w:val="0"/>
      <w:numFmt w:val="bullet"/>
      <w:lvlText w:val="•"/>
      <w:lvlJc w:val="left"/>
      <w:pPr>
        <w:ind w:left="2786" w:hanging="220"/>
      </w:pPr>
      <w:rPr>
        <w:rFonts w:hint="default"/>
        <w:lang w:val="en-gb" w:eastAsia="en-US" w:bidi="ar-SA"/>
      </w:rPr>
    </w:lvl>
    <w:lvl w:ilvl="6">
      <w:start w:val="0"/>
      <w:numFmt w:val="bullet"/>
      <w:lvlText w:val="•"/>
      <w:lvlJc w:val="left"/>
      <w:pPr>
        <w:ind w:left="3279" w:hanging="220"/>
      </w:pPr>
      <w:rPr>
        <w:rFonts w:hint="default"/>
        <w:lang w:val="en-gb" w:eastAsia="en-US" w:bidi="ar-SA"/>
      </w:rPr>
    </w:lvl>
    <w:lvl w:ilvl="7">
      <w:start w:val="0"/>
      <w:numFmt w:val="bullet"/>
      <w:lvlText w:val="•"/>
      <w:lvlJc w:val="left"/>
      <w:pPr>
        <w:ind w:left="3773" w:hanging="220"/>
      </w:pPr>
      <w:rPr>
        <w:rFonts w:hint="default"/>
        <w:lang w:val="en-gb" w:eastAsia="en-US" w:bidi="ar-SA"/>
      </w:rPr>
    </w:lvl>
    <w:lvl w:ilvl="8">
      <w:start w:val="0"/>
      <w:numFmt w:val="bullet"/>
      <w:lvlText w:val="•"/>
      <w:lvlJc w:val="left"/>
      <w:pPr>
        <w:ind w:left="4266" w:hanging="220"/>
      </w:pPr>
      <w:rPr>
        <w:rFonts w:hint="default"/>
        <w:lang w:val="en-gb" w:eastAsia="en-US" w:bidi="ar-SA"/>
      </w:rPr>
    </w:lvl>
  </w:abstractNum>
  <w:abstractNum w:abstractNumId="16">
    <w:multiLevelType w:val="hybridMultilevel"/>
    <w:lvl w:ilvl="0">
      <w:start w:val="1"/>
      <w:numFmt w:val="lowerLetter"/>
      <w:lvlText w:val="%1."/>
      <w:lvlJc w:val="left"/>
      <w:pPr>
        <w:ind w:left="32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610" w:hanging="220"/>
      </w:pPr>
      <w:rPr>
        <w:rFonts w:hint="default"/>
        <w:lang w:val="en-gb" w:eastAsia="en-US" w:bidi="ar-SA"/>
      </w:rPr>
    </w:lvl>
    <w:lvl w:ilvl="2">
      <w:start w:val="0"/>
      <w:numFmt w:val="bullet"/>
      <w:lvlText w:val="•"/>
      <w:lvlJc w:val="left"/>
      <w:pPr>
        <w:ind w:left="900" w:hanging="220"/>
      </w:pPr>
      <w:rPr>
        <w:rFonts w:hint="default"/>
        <w:lang w:val="en-gb" w:eastAsia="en-US" w:bidi="ar-SA"/>
      </w:rPr>
    </w:lvl>
    <w:lvl w:ilvl="3">
      <w:start w:val="0"/>
      <w:numFmt w:val="bullet"/>
      <w:lvlText w:val="•"/>
      <w:lvlJc w:val="left"/>
      <w:pPr>
        <w:ind w:left="1190" w:hanging="220"/>
      </w:pPr>
      <w:rPr>
        <w:rFonts w:hint="default"/>
        <w:lang w:val="en-gb" w:eastAsia="en-US" w:bidi="ar-SA"/>
      </w:rPr>
    </w:lvl>
    <w:lvl w:ilvl="4">
      <w:start w:val="0"/>
      <w:numFmt w:val="bullet"/>
      <w:lvlText w:val="•"/>
      <w:lvlJc w:val="left"/>
      <w:pPr>
        <w:ind w:left="1481" w:hanging="220"/>
      </w:pPr>
      <w:rPr>
        <w:rFonts w:hint="default"/>
        <w:lang w:val="en-gb" w:eastAsia="en-US" w:bidi="ar-SA"/>
      </w:rPr>
    </w:lvl>
    <w:lvl w:ilvl="5">
      <w:start w:val="0"/>
      <w:numFmt w:val="bullet"/>
      <w:lvlText w:val="•"/>
      <w:lvlJc w:val="left"/>
      <w:pPr>
        <w:ind w:left="1771" w:hanging="220"/>
      </w:pPr>
      <w:rPr>
        <w:rFonts w:hint="default"/>
        <w:lang w:val="en-gb" w:eastAsia="en-US" w:bidi="ar-SA"/>
      </w:rPr>
    </w:lvl>
    <w:lvl w:ilvl="6">
      <w:start w:val="0"/>
      <w:numFmt w:val="bullet"/>
      <w:lvlText w:val="•"/>
      <w:lvlJc w:val="left"/>
      <w:pPr>
        <w:ind w:left="2061" w:hanging="220"/>
      </w:pPr>
      <w:rPr>
        <w:rFonts w:hint="default"/>
        <w:lang w:val="en-gb" w:eastAsia="en-US" w:bidi="ar-SA"/>
      </w:rPr>
    </w:lvl>
    <w:lvl w:ilvl="7">
      <w:start w:val="0"/>
      <w:numFmt w:val="bullet"/>
      <w:lvlText w:val="•"/>
      <w:lvlJc w:val="left"/>
      <w:pPr>
        <w:ind w:left="2352" w:hanging="220"/>
      </w:pPr>
      <w:rPr>
        <w:rFonts w:hint="default"/>
        <w:lang w:val="en-gb" w:eastAsia="en-US" w:bidi="ar-SA"/>
      </w:rPr>
    </w:lvl>
    <w:lvl w:ilvl="8">
      <w:start w:val="0"/>
      <w:numFmt w:val="bullet"/>
      <w:lvlText w:val="•"/>
      <w:lvlJc w:val="left"/>
      <w:pPr>
        <w:ind w:left="2642" w:hanging="220"/>
      </w:pPr>
      <w:rPr>
        <w:rFonts w:hint="default"/>
        <w:lang w:val="en-gb" w:eastAsia="en-US" w:bidi="ar-SA"/>
      </w:rPr>
    </w:lvl>
  </w:abstractNum>
  <w:abstractNum w:abstractNumId="15">
    <w:multiLevelType w:val="hybridMultilevel"/>
    <w:lvl w:ilvl="0">
      <w:start w:val="1"/>
      <w:numFmt w:val="lowerLetter"/>
      <w:lvlText w:val="%1."/>
      <w:lvlJc w:val="left"/>
      <w:pPr>
        <w:ind w:left="10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616" w:hanging="220"/>
      </w:pPr>
      <w:rPr>
        <w:rFonts w:hint="default"/>
        <w:lang w:val="en-gb" w:eastAsia="en-US" w:bidi="ar-SA"/>
      </w:rPr>
    </w:lvl>
    <w:lvl w:ilvl="2">
      <w:start w:val="0"/>
      <w:numFmt w:val="bullet"/>
      <w:lvlText w:val="•"/>
      <w:lvlJc w:val="left"/>
      <w:pPr>
        <w:ind w:left="1132" w:hanging="220"/>
      </w:pPr>
      <w:rPr>
        <w:rFonts w:hint="default"/>
        <w:lang w:val="en-gb" w:eastAsia="en-US" w:bidi="ar-SA"/>
      </w:rPr>
    </w:lvl>
    <w:lvl w:ilvl="3">
      <w:start w:val="0"/>
      <w:numFmt w:val="bullet"/>
      <w:lvlText w:val="•"/>
      <w:lvlJc w:val="left"/>
      <w:pPr>
        <w:ind w:left="1648" w:hanging="220"/>
      </w:pPr>
      <w:rPr>
        <w:rFonts w:hint="default"/>
        <w:lang w:val="en-gb" w:eastAsia="en-US" w:bidi="ar-SA"/>
      </w:rPr>
    </w:lvl>
    <w:lvl w:ilvl="4">
      <w:start w:val="0"/>
      <w:numFmt w:val="bullet"/>
      <w:lvlText w:val="•"/>
      <w:lvlJc w:val="left"/>
      <w:pPr>
        <w:ind w:left="2165" w:hanging="220"/>
      </w:pPr>
      <w:rPr>
        <w:rFonts w:hint="default"/>
        <w:lang w:val="en-gb" w:eastAsia="en-US" w:bidi="ar-SA"/>
      </w:rPr>
    </w:lvl>
    <w:lvl w:ilvl="5">
      <w:start w:val="0"/>
      <w:numFmt w:val="bullet"/>
      <w:lvlText w:val="•"/>
      <w:lvlJc w:val="left"/>
      <w:pPr>
        <w:ind w:left="2681" w:hanging="220"/>
      </w:pPr>
      <w:rPr>
        <w:rFonts w:hint="default"/>
        <w:lang w:val="en-gb" w:eastAsia="en-US" w:bidi="ar-SA"/>
      </w:rPr>
    </w:lvl>
    <w:lvl w:ilvl="6">
      <w:start w:val="0"/>
      <w:numFmt w:val="bullet"/>
      <w:lvlText w:val="•"/>
      <w:lvlJc w:val="left"/>
      <w:pPr>
        <w:ind w:left="3197" w:hanging="220"/>
      </w:pPr>
      <w:rPr>
        <w:rFonts w:hint="default"/>
        <w:lang w:val="en-gb" w:eastAsia="en-US" w:bidi="ar-SA"/>
      </w:rPr>
    </w:lvl>
    <w:lvl w:ilvl="7">
      <w:start w:val="0"/>
      <w:numFmt w:val="bullet"/>
      <w:lvlText w:val="•"/>
      <w:lvlJc w:val="left"/>
      <w:pPr>
        <w:ind w:left="3714" w:hanging="220"/>
      </w:pPr>
      <w:rPr>
        <w:rFonts w:hint="default"/>
        <w:lang w:val="en-gb" w:eastAsia="en-US" w:bidi="ar-SA"/>
      </w:rPr>
    </w:lvl>
    <w:lvl w:ilvl="8">
      <w:start w:val="0"/>
      <w:numFmt w:val="bullet"/>
      <w:lvlText w:val="•"/>
      <w:lvlJc w:val="left"/>
      <w:pPr>
        <w:ind w:left="4230" w:hanging="220"/>
      </w:pPr>
      <w:rPr>
        <w:rFonts w:hint="default"/>
        <w:lang w:val="en-gb" w:eastAsia="en-US" w:bidi="ar-SA"/>
      </w:rPr>
    </w:lvl>
  </w:abstractNum>
  <w:abstractNum w:abstractNumId="14">
    <w:multiLevelType w:val="hybridMultilevel"/>
    <w:lvl w:ilvl="0">
      <w:start w:val="1"/>
      <w:numFmt w:val="lowerLetter"/>
      <w:lvlText w:val="%1."/>
      <w:lvlJc w:val="left"/>
      <w:pPr>
        <w:ind w:left="103"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412" w:hanging="220"/>
      </w:pPr>
      <w:rPr>
        <w:rFonts w:hint="default"/>
        <w:lang w:val="en-gb" w:eastAsia="en-US" w:bidi="ar-SA"/>
      </w:rPr>
    </w:lvl>
    <w:lvl w:ilvl="2">
      <w:start w:val="0"/>
      <w:numFmt w:val="bullet"/>
      <w:lvlText w:val="•"/>
      <w:lvlJc w:val="left"/>
      <w:pPr>
        <w:ind w:left="724" w:hanging="220"/>
      </w:pPr>
      <w:rPr>
        <w:rFonts w:hint="default"/>
        <w:lang w:val="en-gb" w:eastAsia="en-US" w:bidi="ar-SA"/>
      </w:rPr>
    </w:lvl>
    <w:lvl w:ilvl="3">
      <w:start w:val="0"/>
      <w:numFmt w:val="bullet"/>
      <w:lvlText w:val="•"/>
      <w:lvlJc w:val="left"/>
      <w:pPr>
        <w:ind w:left="1036" w:hanging="220"/>
      </w:pPr>
      <w:rPr>
        <w:rFonts w:hint="default"/>
        <w:lang w:val="en-gb" w:eastAsia="en-US" w:bidi="ar-SA"/>
      </w:rPr>
    </w:lvl>
    <w:lvl w:ilvl="4">
      <w:start w:val="0"/>
      <w:numFmt w:val="bullet"/>
      <w:lvlText w:val="•"/>
      <w:lvlJc w:val="left"/>
      <w:pPr>
        <w:ind w:left="1349" w:hanging="220"/>
      </w:pPr>
      <w:rPr>
        <w:rFonts w:hint="default"/>
        <w:lang w:val="en-gb" w:eastAsia="en-US" w:bidi="ar-SA"/>
      </w:rPr>
    </w:lvl>
    <w:lvl w:ilvl="5">
      <w:start w:val="0"/>
      <w:numFmt w:val="bullet"/>
      <w:lvlText w:val="•"/>
      <w:lvlJc w:val="left"/>
      <w:pPr>
        <w:ind w:left="1661" w:hanging="220"/>
      </w:pPr>
      <w:rPr>
        <w:rFonts w:hint="default"/>
        <w:lang w:val="en-gb" w:eastAsia="en-US" w:bidi="ar-SA"/>
      </w:rPr>
    </w:lvl>
    <w:lvl w:ilvl="6">
      <w:start w:val="0"/>
      <w:numFmt w:val="bullet"/>
      <w:lvlText w:val="•"/>
      <w:lvlJc w:val="left"/>
      <w:pPr>
        <w:ind w:left="1973" w:hanging="220"/>
      </w:pPr>
      <w:rPr>
        <w:rFonts w:hint="default"/>
        <w:lang w:val="en-gb" w:eastAsia="en-US" w:bidi="ar-SA"/>
      </w:rPr>
    </w:lvl>
    <w:lvl w:ilvl="7">
      <w:start w:val="0"/>
      <w:numFmt w:val="bullet"/>
      <w:lvlText w:val="•"/>
      <w:lvlJc w:val="left"/>
      <w:pPr>
        <w:ind w:left="2286" w:hanging="220"/>
      </w:pPr>
      <w:rPr>
        <w:rFonts w:hint="default"/>
        <w:lang w:val="en-gb" w:eastAsia="en-US" w:bidi="ar-SA"/>
      </w:rPr>
    </w:lvl>
    <w:lvl w:ilvl="8">
      <w:start w:val="0"/>
      <w:numFmt w:val="bullet"/>
      <w:lvlText w:val="•"/>
      <w:lvlJc w:val="left"/>
      <w:pPr>
        <w:ind w:left="2598" w:hanging="220"/>
      </w:pPr>
      <w:rPr>
        <w:rFonts w:hint="default"/>
        <w:lang w:val="en-gb" w:eastAsia="en-US" w:bidi="ar-SA"/>
      </w:rPr>
    </w:lvl>
  </w:abstractNum>
  <w:abstractNum w:abstractNumId="13">
    <w:multiLevelType w:val="hybridMultilevel"/>
    <w:lvl w:ilvl="0">
      <w:start w:val="1"/>
      <w:numFmt w:val="lowerLetter"/>
      <w:lvlText w:val="%1."/>
      <w:lvlJc w:val="left"/>
      <w:pPr>
        <w:ind w:left="10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616" w:hanging="220"/>
      </w:pPr>
      <w:rPr>
        <w:rFonts w:hint="default"/>
        <w:lang w:val="en-gb" w:eastAsia="en-US" w:bidi="ar-SA"/>
      </w:rPr>
    </w:lvl>
    <w:lvl w:ilvl="2">
      <w:start w:val="0"/>
      <w:numFmt w:val="bullet"/>
      <w:lvlText w:val="•"/>
      <w:lvlJc w:val="left"/>
      <w:pPr>
        <w:ind w:left="1132" w:hanging="220"/>
      </w:pPr>
      <w:rPr>
        <w:rFonts w:hint="default"/>
        <w:lang w:val="en-gb" w:eastAsia="en-US" w:bidi="ar-SA"/>
      </w:rPr>
    </w:lvl>
    <w:lvl w:ilvl="3">
      <w:start w:val="0"/>
      <w:numFmt w:val="bullet"/>
      <w:lvlText w:val="•"/>
      <w:lvlJc w:val="left"/>
      <w:pPr>
        <w:ind w:left="1648" w:hanging="220"/>
      </w:pPr>
      <w:rPr>
        <w:rFonts w:hint="default"/>
        <w:lang w:val="en-gb" w:eastAsia="en-US" w:bidi="ar-SA"/>
      </w:rPr>
    </w:lvl>
    <w:lvl w:ilvl="4">
      <w:start w:val="0"/>
      <w:numFmt w:val="bullet"/>
      <w:lvlText w:val="•"/>
      <w:lvlJc w:val="left"/>
      <w:pPr>
        <w:ind w:left="2165" w:hanging="220"/>
      </w:pPr>
      <w:rPr>
        <w:rFonts w:hint="default"/>
        <w:lang w:val="en-gb" w:eastAsia="en-US" w:bidi="ar-SA"/>
      </w:rPr>
    </w:lvl>
    <w:lvl w:ilvl="5">
      <w:start w:val="0"/>
      <w:numFmt w:val="bullet"/>
      <w:lvlText w:val="•"/>
      <w:lvlJc w:val="left"/>
      <w:pPr>
        <w:ind w:left="2681" w:hanging="220"/>
      </w:pPr>
      <w:rPr>
        <w:rFonts w:hint="default"/>
        <w:lang w:val="en-gb" w:eastAsia="en-US" w:bidi="ar-SA"/>
      </w:rPr>
    </w:lvl>
    <w:lvl w:ilvl="6">
      <w:start w:val="0"/>
      <w:numFmt w:val="bullet"/>
      <w:lvlText w:val="•"/>
      <w:lvlJc w:val="left"/>
      <w:pPr>
        <w:ind w:left="3197" w:hanging="220"/>
      </w:pPr>
      <w:rPr>
        <w:rFonts w:hint="default"/>
        <w:lang w:val="en-gb" w:eastAsia="en-US" w:bidi="ar-SA"/>
      </w:rPr>
    </w:lvl>
    <w:lvl w:ilvl="7">
      <w:start w:val="0"/>
      <w:numFmt w:val="bullet"/>
      <w:lvlText w:val="•"/>
      <w:lvlJc w:val="left"/>
      <w:pPr>
        <w:ind w:left="3714" w:hanging="220"/>
      </w:pPr>
      <w:rPr>
        <w:rFonts w:hint="default"/>
        <w:lang w:val="en-gb" w:eastAsia="en-US" w:bidi="ar-SA"/>
      </w:rPr>
    </w:lvl>
    <w:lvl w:ilvl="8">
      <w:start w:val="0"/>
      <w:numFmt w:val="bullet"/>
      <w:lvlText w:val="•"/>
      <w:lvlJc w:val="left"/>
      <w:pPr>
        <w:ind w:left="4230" w:hanging="220"/>
      </w:pPr>
      <w:rPr>
        <w:rFonts w:hint="default"/>
        <w:lang w:val="en-gb" w:eastAsia="en-US" w:bidi="ar-SA"/>
      </w:rPr>
    </w:lvl>
  </w:abstractNum>
  <w:abstractNum w:abstractNumId="12">
    <w:multiLevelType w:val="hybridMultilevel"/>
    <w:lvl w:ilvl="0">
      <w:start w:val="1"/>
      <w:numFmt w:val="lowerLetter"/>
      <w:lvlText w:val="%1."/>
      <w:lvlJc w:val="left"/>
      <w:pPr>
        <w:ind w:left="10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616" w:hanging="220"/>
      </w:pPr>
      <w:rPr>
        <w:rFonts w:hint="default"/>
        <w:lang w:val="en-gb" w:eastAsia="en-US" w:bidi="ar-SA"/>
      </w:rPr>
    </w:lvl>
    <w:lvl w:ilvl="2">
      <w:start w:val="0"/>
      <w:numFmt w:val="bullet"/>
      <w:lvlText w:val="•"/>
      <w:lvlJc w:val="left"/>
      <w:pPr>
        <w:ind w:left="1132" w:hanging="220"/>
      </w:pPr>
      <w:rPr>
        <w:rFonts w:hint="default"/>
        <w:lang w:val="en-gb" w:eastAsia="en-US" w:bidi="ar-SA"/>
      </w:rPr>
    </w:lvl>
    <w:lvl w:ilvl="3">
      <w:start w:val="0"/>
      <w:numFmt w:val="bullet"/>
      <w:lvlText w:val="•"/>
      <w:lvlJc w:val="left"/>
      <w:pPr>
        <w:ind w:left="1648" w:hanging="220"/>
      </w:pPr>
      <w:rPr>
        <w:rFonts w:hint="default"/>
        <w:lang w:val="en-gb" w:eastAsia="en-US" w:bidi="ar-SA"/>
      </w:rPr>
    </w:lvl>
    <w:lvl w:ilvl="4">
      <w:start w:val="0"/>
      <w:numFmt w:val="bullet"/>
      <w:lvlText w:val="•"/>
      <w:lvlJc w:val="left"/>
      <w:pPr>
        <w:ind w:left="2165" w:hanging="220"/>
      </w:pPr>
      <w:rPr>
        <w:rFonts w:hint="default"/>
        <w:lang w:val="en-gb" w:eastAsia="en-US" w:bidi="ar-SA"/>
      </w:rPr>
    </w:lvl>
    <w:lvl w:ilvl="5">
      <w:start w:val="0"/>
      <w:numFmt w:val="bullet"/>
      <w:lvlText w:val="•"/>
      <w:lvlJc w:val="left"/>
      <w:pPr>
        <w:ind w:left="2681" w:hanging="220"/>
      </w:pPr>
      <w:rPr>
        <w:rFonts w:hint="default"/>
        <w:lang w:val="en-gb" w:eastAsia="en-US" w:bidi="ar-SA"/>
      </w:rPr>
    </w:lvl>
    <w:lvl w:ilvl="6">
      <w:start w:val="0"/>
      <w:numFmt w:val="bullet"/>
      <w:lvlText w:val="•"/>
      <w:lvlJc w:val="left"/>
      <w:pPr>
        <w:ind w:left="3197" w:hanging="220"/>
      </w:pPr>
      <w:rPr>
        <w:rFonts w:hint="default"/>
        <w:lang w:val="en-gb" w:eastAsia="en-US" w:bidi="ar-SA"/>
      </w:rPr>
    </w:lvl>
    <w:lvl w:ilvl="7">
      <w:start w:val="0"/>
      <w:numFmt w:val="bullet"/>
      <w:lvlText w:val="•"/>
      <w:lvlJc w:val="left"/>
      <w:pPr>
        <w:ind w:left="3714" w:hanging="220"/>
      </w:pPr>
      <w:rPr>
        <w:rFonts w:hint="default"/>
        <w:lang w:val="en-gb" w:eastAsia="en-US" w:bidi="ar-SA"/>
      </w:rPr>
    </w:lvl>
    <w:lvl w:ilvl="8">
      <w:start w:val="0"/>
      <w:numFmt w:val="bullet"/>
      <w:lvlText w:val="•"/>
      <w:lvlJc w:val="left"/>
      <w:pPr>
        <w:ind w:left="4230" w:hanging="220"/>
      </w:pPr>
      <w:rPr>
        <w:rFonts w:hint="default"/>
        <w:lang w:val="en-gb" w:eastAsia="en-US" w:bidi="ar-SA"/>
      </w:rPr>
    </w:lvl>
  </w:abstractNum>
  <w:abstractNum w:abstractNumId="11">
    <w:multiLevelType w:val="hybridMultilevel"/>
    <w:lvl w:ilvl="0">
      <w:start w:val="1"/>
      <w:numFmt w:val="lowerLetter"/>
      <w:lvlText w:val="%1."/>
      <w:lvlJc w:val="left"/>
      <w:pPr>
        <w:ind w:left="103"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412" w:hanging="220"/>
      </w:pPr>
      <w:rPr>
        <w:rFonts w:hint="default"/>
        <w:lang w:val="en-gb" w:eastAsia="en-US" w:bidi="ar-SA"/>
      </w:rPr>
    </w:lvl>
    <w:lvl w:ilvl="2">
      <w:start w:val="0"/>
      <w:numFmt w:val="bullet"/>
      <w:lvlText w:val="•"/>
      <w:lvlJc w:val="left"/>
      <w:pPr>
        <w:ind w:left="724" w:hanging="220"/>
      </w:pPr>
      <w:rPr>
        <w:rFonts w:hint="default"/>
        <w:lang w:val="en-gb" w:eastAsia="en-US" w:bidi="ar-SA"/>
      </w:rPr>
    </w:lvl>
    <w:lvl w:ilvl="3">
      <w:start w:val="0"/>
      <w:numFmt w:val="bullet"/>
      <w:lvlText w:val="•"/>
      <w:lvlJc w:val="left"/>
      <w:pPr>
        <w:ind w:left="1036" w:hanging="220"/>
      </w:pPr>
      <w:rPr>
        <w:rFonts w:hint="default"/>
        <w:lang w:val="en-gb" w:eastAsia="en-US" w:bidi="ar-SA"/>
      </w:rPr>
    </w:lvl>
    <w:lvl w:ilvl="4">
      <w:start w:val="0"/>
      <w:numFmt w:val="bullet"/>
      <w:lvlText w:val="•"/>
      <w:lvlJc w:val="left"/>
      <w:pPr>
        <w:ind w:left="1349" w:hanging="220"/>
      </w:pPr>
      <w:rPr>
        <w:rFonts w:hint="default"/>
        <w:lang w:val="en-gb" w:eastAsia="en-US" w:bidi="ar-SA"/>
      </w:rPr>
    </w:lvl>
    <w:lvl w:ilvl="5">
      <w:start w:val="0"/>
      <w:numFmt w:val="bullet"/>
      <w:lvlText w:val="•"/>
      <w:lvlJc w:val="left"/>
      <w:pPr>
        <w:ind w:left="1661" w:hanging="220"/>
      </w:pPr>
      <w:rPr>
        <w:rFonts w:hint="default"/>
        <w:lang w:val="en-gb" w:eastAsia="en-US" w:bidi="ar-SA"/>
      </w:rPr>
    </w:lvl>
    <w:lvl w:ilvl="6">
      <w:start w:val="0"/>
      <w:numFmt w:val="bullet"/>
      <w:lvlText w:val="•"/>
      <w:lvlJc w:val="left"/>
      <w:pPr>
        <w:ind w:left="1973" w:hanging="220"/>
      </w:pPr>
      <w:rPr>
        <w:rFonts w:hint="default"/>
        <w:lang w:val="en-gb" w:eastAsia="en-US" w:bidi="ar-SA"/>
      </w:rPr>
    </w:lvl>
    <w:lvl w:ilvl="7">
      <w:start w:val="0"/>
      <w:numFmt w:val="bullet"/>
      <w:lvlText w:val="•"/>
      <w:lvlJc w:val="left"/>
      <w:pPr>
        <w:ind w:left="2286" w:hanging="220"/>
      </w:pPr>
      <w:rPr>
        <w:rFonts w:hint="default"/>
        <w:lang w:val="en-gb" w:eastAsia="en-US" w:bidi="ar-SA"/>
      </w:rPr>
    </w:lvl>
    <w:lvl w:ilvl="8">
      <w:start w:val="0"/>
      <w:numFmt w:val="bullet"/>
      <w:lvlText w:val="•"/>
      <w:lvlJc w:val="left"/>
      <w:pPr>
        <w:ind w:left="2598" w:hanging="220"/>
      </w:pPr>
      <w:rPr>
        <w:rFonts w:hint="default"/>
        <w:lang w:val="en-gb" w:eastAsia="en-US" w:bidi="ar-SA"/>
      </w:rPr>
    </w:lvl>
  </w:abstractNum>
  <w:abstractNum w:abstractNumId="10">
    <w:multiLevelType w:val="hybridMultilevel"/>
    <w:lvl w:ilvl="0">
      <w:start w:val="1"/>
      <w:numFmt w:val="lowerLetter"/>
      <w:lvlText w:val="%1."/>
      <w:lvlJc w:val="left"/>
      <w:pPr>
        <w:ind w:left="32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814" w:hanging="220"/>
      </w:pPr>
      <w:rPr>
        <w:rFonts w:hint="default"/>
        <w:lang w:val="en-gb" w:eastAsia="en-US" w:bidi="ar-SA"/>
      </w:rPr>
    </w:lvl>
    <w:lvl w:ilvl="2">
      <w:start w:val="0"/>
      <w:numFmt w:val="bullet"/>
      <w:lvlText w:val="•"/>
      <w:lvlJc w:val="left"/>
      <w:pPr>
        <w:ind w:left="1308" w:hanging="220"/>
      </w:pPr>
      <w:rPr>
        <w:rFonts w:hint="default"/>
        <w:lang w:val="en-gb" w:eastAsia="en-US" w:bidi="ar-SA"/>
      </w:rPr>
    </w:lvl>
    <w:lvl w:ilvl="3">
      <w:start w:val="0"/>
      <w:numFmt w:val="bullet"/>
      <w:lvlText w:val="•"/>
      <w:lvlJc w:val="left"/>
      <w:pPr>
        <w:ind w:left="1802" w:hanging="220"/>
      </w:pPr>
      <w:rPr>
        <w:rFonts w:hint="default"/>
        <w:lang w:val="en-gb" w:eastAsia="en-US" w:bidi="ar-SA"/>
      </w:rPr>
    </w:lvl>
    <w:lvl w:ilvl="4">
      <w:start w:val="0"/>
      <w:numFmt w:val="bullet"/>
      <w:lvlText w:val="•"/>
      <w:lvlJc w:val="left"/>
      <w:pPr>
        <w:ind w:left="2297" w:hanging="220"/>
      </w:pPr>
      <w:rPr>
        <w:rFonts w:hint="default"/>
        <w:lang w:val="en-gb" w:eastAsia="en-US" w:bidi="ar-SA"/>
      </w:rPr>
    </w:lvl>
    <w:lvl w:ilvl="5">
      <w:start w:val="0"/>
      <w:numFmt w:val="bullet"/>
      <w:lvlText w:val="•"/>
      <w:lvlJc w:val="left"/>
      <w:pPr>
        <w:ind w:left="2791" w:hanging="220"/>
      </w:pPr>
      <w:rPr>
        <w:rFonts w:hint="default"/>
        <w:lang w:val="en-gb" w:eastAsia="en-US" w:bidi="ar-SA"/>
      </w:rPr>
    </w:lvl>
    <w:lvl w:ilvl="6">
      <w:start w:val="0"/>
      <w:numFmt w:val="bullet"/>
      <w:lvlText w:val="•"/>
      <w:lvlJc w:val="left"/>
      <w:pPr>
        <w:ind w:left="3285" w:hanging="220"/>
      </w:pPr>
      <w:rPr>
        <w:rFonts w:hint="default"/>
        <w:lang w:val="en-gb" w:eastAsia="en-US" w:bidi="ar-SA"/>
      </w:rPr>
    </w:lvl>
    <w:lvl w:ilvl="7">
      <w:start w:val="0"/>
      <w:numFmt w:val="bullet"/>
      <w:lvlText w:val="•"/>
      <w:lvlJc w:val="left"/>
      <w:pPr>
        <w:ind w:left="3780" w:hanging="220"/>
      </w:pPr>
      <w:rPr>
        <w:rFonts w:hint="default"/>
        <w:lang w:val="en-gb" w:eastAsia="en-US" w:bidi="ar-SA"/>
      </w:rPr>
    </w:lvl>
    <w:lvl w:ilvl="8">
      <w:start w:val="0"/>
      <w:numFmt w:val="bullet"/>
      <w:lvlText w:val="•"/>
      <w:lvlJc w:val="left"/>
      <w:pPr>
        <w:ind w:left="4274" w:hanging="220"/>
      </w:pPr>
      <w:rPr>
        <w:rFonts w:hint="default"/>
        <w:lang w:val="en-gb" w:eastAsia="en-US" w:bidi="ar-SA"/>
      </w:rPr>
    </w:lvl>
  </w:abstractNum>
  <w:abstractNum w:abstractNumId="9">
    <w:multiLevelType w:val="hybridMultilevel"/>
    <w:lvl w:ilvl="0">
      <w:start w:val="1"/>
      <w:numFmt w:val="lowerLetter"/>
      <w:lvlText w:val="%1."/>
      <w:lvlJc w:val="left"/>
      <w:pPr>
        <w:ind w:left="103"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412" w:hanging="220"/>
      </w:pPr>
      <w:rPr>
        <w:rFonts w:hint="default"/>
        <w:lang w:val="en-gb" w:eastAsia="en-US" w:bidi="ar-SA"/>
      </w:rPr>
    </w:lvl>
    <w:lvl w:ilvl="2">
      <w:start w:val="0"/>
      <w:numFmt w:val="bullet"/>
      <w:lvlText w:val="•"/>
      <w:lvlJc w:val="left"/>
      <w:pPr>
        <w:ind w:left="724" w:hanging="220"/>
      </w:pPr>
      <w:rPr>
        <w:rFonts w:hint="default"/>
        <w:lang w:val="en-gb" w:eastAsia="en-US" w:bidi="ar-SA"/>
      </w:rPr>
    </w:lvl>
    <w:lvl w:ilvl="3">
      <w:start w:val="0"/>
      <w:numFmt w:val="bullet"/>
      <w:lvlText w:val="•"/>
      <w:lvlJc w:val="left"/>
      <w:pPr>
        <w:ind w:left="1036" w:hanging="220"/>
      </w:pPr>
      <w:rPr>
        <w:rFonts w:hint="default"/>
        <w:lang w:val="en-gb" w:eastAsia="en-US" w:bidi="ar-SA"/>
      </w:rPr>
    </w:lvl>
    <w:lvl w:ilvl="4">
      <w:start w:val="0"/>
      <w:numFmt w:val="bullet"/>
      <w:lvlText w:val="•"/>
      <w:lvlJc w:val="left"/>
      <w:pPr>
        <w:ind w:left="1349" w:hanging="220"/>
      </w:pPr>
      <w:rPr>
        <w:rFonts w:hint="default"/>
        <w:lang w:val="en-gb" w:eastAsia="en-US" w:bidi="ar-SA"/>
      </w:rPr>
    </w:lvl>
    <w:lvl w:ilvl="5">
      <w:start w:val="0"/>
      <w:numFmt w:val="bullet"/>
      <w:lvlText w:val="•"/>
      <w:lvlJc w:val="left"/>
      <w:pPr>
        <w:ind w:left="1661" w:hanging="220"/>
      </w:pPr>
      <w:rPr>
        <w:rFonts w:hint="default"/>
        <w:lang w:val="en-gb" w:eastAsia="en-US" w:bidi="ar-SA"/>
      </w:rPr>
    </w:lvl>
    <w:lvl w:ilvl="6">
      <w:start w:val="0"/>
      <w:numFmt w:val="bullet"/>
      <w:lvlText w:val="•"/>
      <w:lvlJc w:val="left"/>
      <w:pPr>
        <w:ind w:left="1973" w:hanging="220"/>
      </w:pPr>
      <w:rPr>
        <w:rFonts w:hint="default"/>
        <w:lang w:val="en-gb" w:eastAsia="en-US" w:bidi="ar-SA"/>
      </w:rPr>
    </w:lvl>
    <w:lvl w:ilvl="7">
      <w:start w:val="0"/>
      <w:numFmt w:val="bullet"/>
      <w:lvlText w:val="•"/>
      <w:lvlJc w:val="left"/>
      <w:pPr>
        <w:ind w:left="2286" w:hanging="220"/>
      </w:pPr>
      <w:rPr>
        <w:rFonts w:hint="default"/>
        <w:lang w:val="en-gb" w:eastAsia="en-US" w:bidi="ar-SA"/>
      </w:rPr>
    </w:lvl>
    <w:lvl w:ilvl="8">
      <w:start w:val="0"/>
      <w:numFmt w:val="bullet"/>
      <w:lvlText w:val="•"/>
      <w:lvlJc w:val="left"/>
      <w:pPr>
        <w:ind w:left="2598" w:hanging="220"/>
      </w:pPr>
      <w:rPr>
        <w:rFonts w:hint="default"/>
        <w:lang w:val="en-gb" w:eastAsia="en-US" w:bidi="ar-SA"/>
      </w:rPr>
    </w:lvl>
  </w:abstractNum>
  <w:abstractNum w:abstractNumId="8">
    <w:multiLevelType w:val="hybridMultilevel"/>
    <w:lvl w:ilvl="0">
      <w:start w:val="1"/>
      <w:numFmt w:val="lowerLetter"/>
      <w:lvlText w:val="%1."/>
      <w:lvlJc w:val="left"/>
      <w:pPr>
        <w:ind w:left="32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814" w:hanging="220"/>
      </w:pPr>
      <w:rPr>
        <w:rFonts w:hint="default"/>
        <w:lang w:val="en-gb" w:eastAsia="en-US" w:bidi="ar-SA"/>
      </w:rPr>
    </w:lvl>
    <w:lvl w:ilvl="2">
      <w:start w:val="0"/>
      <w:numFmt w:val="bullet"/>
      <w:lvlText w:val="•"/>
      <w:lvlJc w:val="left"/>
      <w:pPr>
        <w:ind w:left="1308" w:hanging="220"/>
      </w:pPr>
      <w:rPr>
        <w:rFonts w:hint="default"/>
        <w:lang w:val="en-gb" w:eastAsia="en-US" w:bidi="ar-SA"/>
      </w:rPr>
    </w:lvl>
    <w:lvl w:ilvl="3">
      <w:start w:val="0"/>
      <w:numFmt w:val="bullet"/>
      <w:lvlText w:val="•"/>
      <w:lvlJc w:val="left"/>
      <w:pPr>
        <w:ind w:left="1802" w:hanging="220"/>
      </w:pPr>
      <w:rPr>
        <w:rFonts w:hint="default"/>
        <w:lang w:val="en-gb" w:eastAsia="en-US" w:bidi="ar-SA"/>
      </w:rPr>
    </w:lvl>
    <w:lvl w:ilvl="4">
      <w:start w:val="0"/>
      <w:numFmt w:val="bullet"/>
      <w:lvlText w:val="•"/>
      <w:lvlJc w:val="left"/>
      <w:pPr>
        <w:ind w:left="2297" w:hanging="220"/>
      </w:pPr>
      <w:rPr>
        <w:rFonts w:hint="default"/>
        <w:lang w:val="en-gb" w:eastAsia="en-US" w:bidi="ar-SA"/>
      </w:rPr>
    </w:lvl>
    <w:lvl w:ilvl="5">
      <w:start w:val="0"/>
      <w:numFmt w:val="bullet"/>
      <w:lvlText w:val="•"/>
      <w:lvlJc w:val="left"/>
      <w:pPr>
        <w:ind w:left="2791" w:hanging="220"/>
      </w:pPr>
      <w:rPr>
        <w:rFonts w:hint="default"/>
        <w:lang w:val="en-gb" w:eastAsia="en-US" w:bidi="ar-SA"/>
      </w:rPr>
    </w:lvl>
    <w:lvl w:ilvl="6">
      <w:start w:val="0"/>
      <w:numFmt w:val="bullet"/>
      <w:lvlText w:val="•"/>
      <w:lvlJc w:val="left"/>
      <w:pPr>
        <w:ind w:left="3285" w:hanging="220"/>
      </w:pPr>
      <w:rPr>
        <w:rFonts w:hint="default"/>
        <w:lang w:val="en-gb" w:eastAsia="en-US" w:bidi="ar-SA"/>
      </w:rPr>
    </w:lvl>
    <w:lvl w:ilvl="7">
      <w:start w:val="0"/>
      <w:numFmt w:val="bullet"/>
      <w:lvlText w:val="•"/>
      <w:lvlJc w:val="left"/>
      <w:pPr>
        <w:ind w:left="3780" w:hanging="220"/>
      </w:pPr>
      <w:rPr>
        <w:rFonts w:hint="default"/>
        <w:lang w:val="en-gb" w:eastAsia="en-US" w:bidi="ar-SA"/>
      </w:rPr>
    </w:lvl>
    <w:lvl w:ilvl="8">
      <w:start w:val="0"/>
      <w:numFmt w:val="bullet"/>
      <w:lvlText w:val="•"/>
      <w:lvlJc w:val="left"/>
      <w:pPr>
        <w:ind w:left="4274" w:hanging="220"/>
      </w:pPr>
      <w:rPr>
        <w:rFonts w:hint="default"/>
        <w:lang w:val="en-gb" w:eastAsia="en-US" w:bidi="ar-SA"/>
      </w:rPr>
    </w:lvl>
  </w:abstractNum>
  <w:abstractNum w:abstractNumId="7">
    <w:multiLevelType w:val="hybridMultilevel"/>
    <w:lvl w:ilvl="0">
      <w:start w:val="1"/>
      <w:numFmt w:val="lowerLetter"/>
      <w:lvlText w:val="%1."/>
      <w:lvlJc w:val="left"/>
      <w:pPr>
        <w:ind w:left="322" w:hanging="220"/>
        <w:jc w:val="left"/>
      </w:pPr>
      <w:rPr>
        <w:rFonts w:hint="default" w:ascii="Avenir-Book" w:hAnsi="Avenir-Book" w:eastAsia="Avenir-Book" w:cs="Avenir-Book"/>
        <w:color w:val="FFFFFF"/>
        <w:w w:val="102"/>
        <w:sz w:val="20"/>
        <w:szCs w:val="20"/>
        <w:lang w:val="en-gb" w:eastAsia="en-US" w:bidi="ar-SA"/>
      </w:rPr>
    </w:lvl>
    <w:lvl w:ilvl="1">
      <w:start w:val="0"/>
      <w:numFmt w:val="bullet"/>
      <w:lvlText w:val="•"/>
      <w:lvlJc w:val="left"/>
      <w:pPr>
        <w:ind w:left="610" w:hanging="220"/>
      </w:pPr>
      <w:rPr>
        <w:rFonts w:hint="default"/>
        <w:lang w:val="en-gb" w:eastAsia="en-US" w:bidi="ar-SA"/>
      </w:rPr>
    </w:lvl>
    <w:lvl w:ilvl="2">
      <w:start w:val="0"/>
      <w:numFmt w:val="bullet"/>
      <w:lvlText w:val="•"/>
      <w:lvlJc w:val="left"/>
      <w:pPr>
        <w:ind w:left="900" w:hanging="220"/>
      </w:pPr>
      <w:rPr>
        <w:rFonts w:hint="default"/>
        <w:lang w:val="en-gb" w:eastAsia="en-US" w:bidi="ar-SA"/>
      </w:rPr>
    </w:lvl>
    <w:lvl w:ilvl="3">
      <w:start w:val="0"/>
      <w:numFmt w:val="bullet"/>
      <w:lvlText w:val="•"/>
      <w:lvlJc w:val="left"/>
      <w:pPr>
        <w:ind w:left="1190" w:hanging="220"/>
      </w:pPr>
      <w:rPr>
        <w:rFonts w:hint="default"/>
        <w:lang w:val="en-gb" w:eastAsia="en-US" w:bidi="ar-SA"/>
      </w:rPr>
    </w:lvl>
    <w:lvl w:ilvl="4">
      <w:start w:val="0"/>
      <w:numFmt w:val="bullet"/>
      <w:lvlText w:val="•"/>
      <w:lvlJc w:val="left"/>
      <w:pPr>
        <w:ind w:left="1481" w:hanging="220"/>
      </w:pPr>
      <w:rPr>
        <w:rFonts w:hint="default"/>
        <w:lang w:val="en-gb" w:eastAsia="en-US" w:bidi="ar-SA"/>
      </w:rPr>
    </w:lvl>
    <w:lvl w:ilvl="5">
      <w:start w:val="0"/>
      <w:numFmt w:val="bullet"/>
      <w:lvlText w:val="•"/>
      <w:lvlJc w:val="left"/>
      <w:pPr>
        <w:ind w:left="1771" w:hanging="220"/>
      </w:pPr>
      <w:rPr>
        <w:rFonts w:hint="default"/>
        <w:lang w:val="en-gb" w:eastAsia="en-US" w:bidi="ar-SA"/>
      </w:rPr>
    </w:lvl>
    <w:lvl w:ilvl="6">
      <w:start w:val="0"/>
      <w:numFmt w:val="bullet"/>
      <w:lvlText w:val="•"/>
      <w:lvlJc w:val="left"/>
      <w:pPr>
        <w:ind w:left="2061" w:hanging="220"/>
      </w:pPr>
      <w:rPr>
        <w:rFonts w:hint="default"/>
        <w:lang w:val="en-gb" w:eastAsia="en-US" w:bidi="ar-SA"/>
      </w:rPr>
    </w:lvl>
    <w:lvl w:ilvl="7">
      <w:start w:val="0"/>
      <w:numFmt w:val="bullet"/>
      <w:lvlText w:val="•"/>
      <w:lvlJc w:val="left"/>
      <w:pPr>
        <w:ind w:left="2352" w:hanging="220"/>
      </w:pPr>
      <w:rPr>
        <w:rFonts w:hint="default"/>
        <w:lang w:val="en-gb" w:eastAsia="en-US" w:bidi="ar-SA"/>
      </w:rPr>
    </w:lvl>
    <w:lvl w:ilvl="8">
      <w:start w:val="0"/>
      <w:numFmt w:val="bullet"/>
      <w:lvlText w:val="•"/>
      <w:lvlJc w:val="left"/>
      <w:pPr>
        <w:ind w:left="2642" w:hanging="220"/>
      </w:pPr>
      <w:rPr>
        <w:rFonts w:hint="default"/>
        <w:lang w:val="en-gb" w:eastAsia="en-US" w:bidi="ar-SA"/>
      </w:rPr>
    </w:lvl>
  </w:abstractNum>
  <w:abstractNum w:abstractNumId="6">
    <w:multiLevelType w:val="hybridMultilevel"/>
    <w:lvl w:ilvl="0">
      <w:start w:val="1"/>
      <w:numFmt w:val="lowerRoman"/>
      <w:lvlText w:val="%1."/>
      <w:lvlJc w:val="left"/>
      <w:pPr>
        <w:ind w:left="660" w:hanging="300"/>
        <w:jc w:val="left"/>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1696" w:hanging="300"/>
      </w:pPr>
      <w:rPr>
        <w:rFonts w:hint="default"/>
        <w:lang w:val="en-gb" w:eastAsia="en-US" w:bidi="ar-SA"/>
      </w:rPr>
    </w:lvl>
    <w:lvl w:ilvl="2">
      <w:start w:val="0"/>
      <w:numFmt w:val="bullet"/>
      <w:lvlText w:val="•"/>
      <w:lvlJc w:val="left"/>
      <w:pPr>
        <w:ind w:left="2733" w:hanging="300"/>
      </w:pPr>
      <w:rPr>
        <w:rFonts w:hint="default"/>
        <w:lang w:val="en-gb" w:eastAsia="en-US" w:bidi="ar-SA"/>
      </w:rPr>
    </w:lvl>
    <w:lvl w:ilvl="3">
      <w:start w:val="0"/>
      <w:numFmt w:val="bullet"/>
      <w:lvlText w:val="•"/>
      <w:lvlJc w:val="left"/>
      <w:pPr>
        <w:ind w:left="3769" w:hanging="300"/>
      </w:pPr>
      <w:rPr>
        <w:rFonts w:hint="default"/>
        <w:lang w:val="en-gb" w:eastAsia="en-US" w:bidi="ar-SA"/>
      </w:rPr>
    </w:lvl>
    <w:lvl w:ilvl="4">
      <w:start w:val="0"/>
      <w:numFmt w:val="bullet"/>
      <w:lvlText w:val="•"/>
      <w:lvlJc w:val="left"/>
      <w:pPr>
        <w:ind w:left="4806" w:hanging="300"/>
      </w:pPr>
      <w:rPr>
        <w:rFonts w:hint="default"/>
        <w:lang w:val="en-gb" w:eastAsia="en-US" w:bidi="ar-SA"/>
      </w:rPr>
    </w:lvl>
    <w:lvl w:ilvl="5">
      <w:start w:val="0"/>
      <w:numFmt w:val="bullet"/>
      <w:lvlText w:val="•"/>
      <w:lvlJc w:val="left"/>
      <w:pPr>
        <w:ind w:left="5842" w:hanging="300"/>
      </w:pPr>
      <w:rPr>
        <w:rFonts w:hint="default"/>
        <w:lang w:val="en-gb" w:eastAsia="en-US" w:bidi="ar-SA"/>
      </w:rPr>
    </w:lvl>
    <w:lvl w:ilvl="6">
      <w:start w:val="0"/>
      <w:numFmt w:val="bullet"/>
      <w:lvlText w:val="•"/>
      <w:lvlJc w:val="left"/>
      <w:pPr>
        <w:ind w:left="6879" w:hanging="300"/>
      </w:pPr>
      <w:rPr>
        <w:rFonts w:hint="default"/>
        <w:lang w:val="en-gb" w:eastAsia="en-US" w:bidi="ar-SA"/>
      </w:rPr>
    </w:lvl>
    <w:lvl w:ilvl="7">
      <w:start w:val="0"/>
      <w:numFmt w:val="bullet"/>
      <w:lvlText w:val="•"/>
      <w:lvlJc w:val="left"/>
      <w:pPr>
        <w:ind w:left="7915" w:hanging="300"/>
      </w:pPr>
      <w:rPr>
        <w:rFonts w:hint="default"/>
        <w:lang w:val="en-gb" w:eastAsia="en-US" w:bidi="ar-SA"/>
      </w:rPr>
    </w:lvl>
    <w:lvl w:ilvl="8">
      <w:start w:val="0"/>
      <w:numFmt w:val="bullet"/>
      <w:lvlText w:val="•"/>
      <w:lvlJc w:val="left"/>
      <w:pPr>
        <w:ind w:left="8952" w:hanging="300"/>
      </w:pPr>
      <w:rPr>
        <w:rFonts w:hint="default"/>
        <w:lang w:val="en-gb" w:eastAsia="en-US" w:bidi="ar-SA"/>
      </w:rPr>
    </w:lvl>
  </w:abstractNum>
  <w:abstractNum w:abstractNumId="4">
    <w:multiLevelType w:val="hybridMultilevel"/>
    <w:lvl w:ilvl="0">
      <w:start w:val="0"/>
      <w:numFmt w:val="bullet"/>
      <w:lvlText w:val="–"/>
      <w:lvlJc w:val="left"/>
      <w:pPr>
        <w:ind w:left="2163"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3046" w:hanging="340"/>
      </w:pPr>
      <w:rPr>
        <w:rFonts w:hint="default"/>
        <w:lang w:val="en-gb" w:eastAsia="en-US" w:bidi="ar-SA"/>
      </w:rPr>
    </w:lvl>
    <w:lvl w:ilvl="2">
      <w:start w:val="0"/>
      <w:numFmt w:val="bullet"/>
      <w:lvlText w:val="•"/>
      <w:lvlJc w:val="left"/>
      <w:pPr>
        <w:ind w:left="3933" w:hanging="340"/>
      </w:pPr>
      <w:rPr>
        <w:rFonts w:hint="default"/>
        <w:lang w:val="en-gb" w:eastAsia="en-US" w:bidi="ar-SA"/>
      </w:rPr>
    </w:lvl>
    <w:lvl w:ilvl="3">
      <w:start w:val="0"/>
      <w:numFmt w:val="bullet"/>
      <w:lvlText w:val="•"/>
      <w:lvlJc w:val="left"/>
      <w:pPr>
        <w:ind w:left="4819" w:hanging="340"/>
      </w:pPr>
      <w:rPr>
        <w:rFonts w:hint="default"/>
        <w:lang w:val="en-gb" w:eastAsia="en-US" w:bidi="ar-SA"/>
      </w:rPr>
    </w:lvl>
    <w:lvl w:ilvl="4">
      <w:start w:val="0"/>
      <w:numFmt w:val="bullet"/>
      <w:lvlText w:val="•"/>
      <w:lvlJc w:val="left"/>
      <w:pPr>
        <w:ind w:left="5706" w:hanging="340"/>
      </w:pPr>
      <w:rPr>
        <w:rFonts w:hint="default"/>
        <w:lang w:val="en-gb" w:eastAsia="en-US" w:bidi="ar-SA"/>
      </w:rPr>
    </w:lvl>
    <w:lvl w:ilvl="5">
      <w:start w:val="0"/>
      <w:numFmt w:val="bullet"/>
      <w:lvlText w:val="•"/>
      <w:lvlJc w:val="left"/>
      <w:pPr>
        <w:ind w:left="6592" w:hanging="340"/>
      </w:pPr>
      <w:rPr>
        <w:rFonts w:hint="default"/>
        <w:lang w:val="en-gb" w:eastAsia="en-US" w:bidi="ar-SA"/>
      </w:rPr>
    </w:lvl>
    <w:lvl w:ilvl="6">
      <w:start w:val="0"/>
      <w:numFmt w:val="bullet"/>
      <w:lvlText w:val="•"/>
      <w:lvlJc w:val="left"/>
      <w:pPr>
        <w:ind w:left="7479" w:hanging="340"/>
      </w:pPr>
      <w:rPr>
        <w:rFonts w:hint="default"/>
        <w:lang w:val="en-gb" w:eastAsia="en-US" w:bidi="ar-SA"/>
      </w:rPr>
    </w:lvl>
    <w:lvl w:ilvl="7">
      <w:start w:val="0"/>
      <w:numFmt w:val="bullet"/>
      <w:lvlText w:val="•"/>
      <w:lvlJc w:val="left"/>
      <w:pPr>
        <w:ind w:left="8365" w:hanging="340"/>
      </w:pPr>
      <w:rPr>
        <w:rFonts w:hint="default"/>
        <w:lang w:val="en-gb" w:eastAsia="en-US" w:bidi="ar-SA"/>
      </w:rPr>
    </w:lvl>
    <w:lvl w:ilvl="8">
      <w:start w:val="0"/>
      <w:numFmt w:val="bullet"/>
      <w:lvlText w:val="•"/>
      <w:lvlJc w:val="left"/>
      <w:pPr>
        <w:ind w:left="9252" w:hanging="340"/>
      </w:pPr>
      <w:rPr>
        <w:rFonts w:hint="default"/>
        <w:lang w:val="en-gb" w:eastAsia="en-US" w:bidi="ar-SA"/>
      </w:rPr>
    </w:lvl>
  </w:abstractNum>
  <w:abstractNum w:abstractNumId="2">
    <w:multiLevelType w:val="hybridMultilevel"/>
    <w:lvl w:ilvl="0">
      <w:start w:val="0"/>
      <w:numFmt w:val="bullet"/>
      <w:lvlText w:val="–"/>
      <w:lvlJc w:val="left"/>
      <w:pPr>
        <w:ind w:left="700"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1413" w:hanging="340"/>
      </w:pPr>
      <w:rPr>
        <w:rFonts w:hint="default"/>
        <w:lang w:val="en-gb" w:eastAsia="en-US" w:bidi="ar-SA"/>
      </w:rPr>
    </w:lvl>
    <w:lvl w:ilvl="2">
      <w:start w:val="0"/>
      <w:numFmt w:val="bullet"/>
      <w:lvlText w:val="•"/>
      <w:lvlJc w:val="left"/>
      <w:pPr>
        <w:ind w:left="2127" w:hanging="340"/>
      </w:pPr>
      <w:rPr>
        <w:rFonts w:hint="default"/>
        <w:lang w:val="en-gb" w:eastAsia="en-US" w:bidi="ar-SA"/>
      </w:rPr>
    </w:lvl>
    <w:lvl w:ilvl="3">
      <w:start w:val="0"/>
      <w:numFmt w:val="bullet"/>
      <w:lvlText w:val="•"/>
      <w:lvlJc w:val="left"/>
      <w:pPr>
        <w:ind w:left="2840" w:hanging="340"/>
      </w:pPr>
      <w:rPr>
        <w:rFonts w:hint="default"/>
        <w:lang w:val="en-gb" w:eastAsia="en-US" w:bidi="ar-SA"/>
      </w:rPr>
    </w:lvl>
    <w:lvl w:ilvl="4">
      <w:start w:val="0"/>
      <w:numFmt w:val="bullet"/>
      <w:lvlText w:val="•"/>
      <w:lvlJc w:val="left"/>
      <w:pPr>
        <w:ind w:left="3554" w:hanging="340"/>
      </w:pPr>
      <w:rPr>
        <w:rFonts w:hint="default"/>
        <w:lang w:val="en-gb" w:eastAsia="en-US" w:bidi="ar-SA"/>
      </w:rPr>
    </w:lvl>
    <w:lvl w:ilvl="5">
      <w:start w:val="0"/>
      <w:numFmt w:val="bullet"/>
      <w:lvlText w:val="•"/>
      <w:lvlJc w:val="left"/>
      <w:pPr>
        <w:ind w:left="4267" w:hanging="340"/>
      </w:pPr>
      <w:rPr>
        <w:rFonts w:hint="default"/>
        <w:lang w:val="en-gb" w:eastAsia="en-US" w:bidi="ar-SA"/>
      </w:rPr>
    </w:lvl>
    <w:lvl w:ilvl="6">
      <w:start w:val="0"/>
      <w:numFmt w:val="bullet"/>
      <w:lvlText w:val="•"/>
      <w:lvlJc w:val="left"/>
      <w:pPr>
        <w:ind w:left="4981" w:hanging="340"/>
      </w:pPr>
      <w:rPr>
        <w:rFonts w:hint="default"/>
        <w:lang w:val="en-gb" w:eastAsia="en-US" w:bidi="ar-SA"/>
      </w:rPr>
    </w:lvl>
    <w:lvl w:ilvl="7">
      <w:start w:val="0"/>
      <w:numFmt w:val="bullet"/>
      <w:lvlText w:val="•"/>
      <w:lvlJc w:val="left"/>
      <w:pPr>
        <w:ind w:left="5694" w:hanging="340"/>
      </w:pPr>
      <w:rPr>
        <w:rFonts w:hint="default"/>
        <w:lang w:val="en-gb" w:eastAsia="en-US" w:bidi="ar-SA"/>
      </w:rPr>
    </w:lvl>
    <w:lvl w:ilvl="8">
      <w:start w:val="0"/>
      <w:numFmt w:val="bullet"/>
      <w:lvlText w:val="•"/>
      <w:lvlJc w:val="left"/>
      <w:pPr>
        <w:ind w:left="6408" w:hanging="340"/>
      </w:pPr>
      <w:rPr>
        <w:rFonts w:hint="default"/>
        <w:lang w:val="en-gb" w:eastAsia="en-US" w:bidi="ar-SA"/>
      </w:rPr>
    </w:lvl>
  </w:abstractNum>
  <w:abstractNum w:abstractNumId="0">
    <w:multiLevelType w:val="hybridMultilevel"/>
    <w:lvl w:ilvl="0">
      <w:start w:val="0"/>
      <w:numFmt w:val="bullet"/>
      <w:lvlText w:val="–"/>
      <w:lvlJc w:val="left"/>
      <w:pPr>
        <w:ind w:left="581"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1367" w:hanging="340"/>
      </w:pPr>
      <w:rPr>
        <w:rFonts w:hint="default"/>
        <w:lang w:val="en-gb" w:eastAsia="en-US" w:bidi="ar-SA"/>
      </w:rPr>
    </w:lvl>
    <w:lvl w:ilvl="2">
      <w:start w:val="0"/>
      <w:numFmt w:val="bullet"/>
      <w:lvlText w:val="•"/>
      <w:lvlJc w:val="left"/>
      <w:pPr>
        <w:ind w:left="2154" w:hanging="340"/>
      </w:pPr>
      <w:rPr>
        <w:rFonts w:hint="default"/>
        <w:lang w:val="en-gb" w:eastAsia="en-US" w:bidi="ar-SA"/>
      </w:rPr>
    </w:lvl>
    <w:lvl w:ilvl="3">
      <w:start w:val="0"/>
      <w:numFmt w:val="bullet"/>
      <w:lvlText w:val="•"/>
      <w:lvlJc w:val="left"/>
      <w:pPr>
        <w:ind w:left="2941" w:hanging="340"/>
      </w:pPr>
      <w:rPr>
        <w:rFonts w:hint="default"/>
        <w:lang w:val="en-gb" w:eastAsia="en-US" w:bidi="ar-SA"/>
      </w:rPr>
    </w:lvl>
    <w:lvl w:ilvl="4">
      <w:start w:val="0"/>
      <w:numFmt w:val="bullet"/>
      <w:lvlText w:val="•"/>
      <w:lvlJc w:val="left"/>
      <w:pPr>
        <w:ind w:left="3728" w:hanging="340"/>
      </w:pPr>
      <w:rPr>
        <w:rFonts w:hint="default"/>
        <w:lang w:val="en-gb" w:eastAsia="en-US" w:bidi="ar-SA"/>
      </w:rPr>
    </w:lvl>
    <w:lvl w:ilvl="5">
      <w:start w:val="0"/>
      <w:numFmt w:val="bullet"/>
      <w:lvlText w:val="•"/>
      <w:lvlJc w:val="left"/>
      <w:pPr>
        <w:ind w:left="4516" w:hanging="340"/>
      </w:pPr>
      <w:rPr>
        <w:rFonts w:hint="default"/>
        <w:lang w:val="en-gb" w:eastAsia="en-US" w:bidi="ar-SA"/>
      </w:rPr>
    </w:lvl>
    <w:lvl w:ilvl="6">
      <w:start w:val="0"/>
      <w:numFmt w:val="bullet"/>
      <w:lvlText w:val="•"/>
      <w:lvlJc w:val="left"/>
      <w:pPr>
        <w:ind w:left="5303" w:hanging="340"/>
      </w:pPr>
      <w:rPr>
        <w:rFonts w:hint="default"/>
        <w:lang w:val="en-gb" w:eastAsia="en-US" w:bidi="ar-SA"/>
      </w:rPr>
    </w:lvl>
    <w:lvl w:ilvl="7">
      <w:start w:val="0"/>
      <w:numFmt w:val="bullet"/>
      <w:lvlText w:val="•"/>
      <w:lvlJc w:val="left"/>
      <w:pPr>
        <w:ind w:left="6090" w:hanging="340"/>
      </w:pPr>
      <w:rPr>
        <w:rFonts w:hint="default"/>
        <w:lang w:val="en-gb" w:eastAsia="en-US" w:bidi="ar-SA"/>
      </w:rPr>
    </w:lvl>
    <w:lvl w:ilvl="8">
      <w:start w:val="0"/>
      <w:numFmt w:val="bullet"/>
      <w:lvlText w:val="•"/>
      <w:lvlJc w:val="left"/>
      <w:pPr>
        <w:ind w:left="6877" w:hanging="340"/>
      </w:pPr>
      <w:rPr>
        <w:rFonts w:hint="default"/>
        <w:lang w:val="en-gb" w:eastAsia="en-US" w:bidi="ar-SA"/>
      </w:rPr>
    </w:lvl>
  </w:abstractNum>
  <w:num w:numId="31">
    <w:abstractNumId w:val="30"/>
  </w:num>
  <w:num w:numId="6">
    <w:abstractNumId w:val="5"/>
  </w:num>
  <w:num w:numId="4">
    <w:abstractNumId w:val="3"/>
  </w:num>
  <w:num w:numId="2">
    <w:abstractNumId w:val="1"/>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venir-Book" w:hAnsi="Avenir-Book" w:eastAsia="Avenir-Book" w:cs="Avenir-Book"/>
      <w:lang w:val="en-gb" w:eastAsia="en-US" w:bidi="ar-SA"/>
    </w:rPr>
  </w:style>
  <w:style w:styleId="BodyText" w:type="paragraph">
    <w:name w:val="Body Text"/>
    <w:basedOn w:val="Normal"/>
    <w:uiPriority w:val="1"/>
    <w:qFormat/>
    <w:pPr/>
    <w:rPr>
      <w:rFonts w:ascii="Avenir-Book" w:hAnsi="Avenir-Book" w:eastAsia="Avenir-Book" w:cs="Avenir-Book"/>
      <w:sz w:val="22"/>
      <w:szCs w:val="22"/>
      <w:lang w:val="en-gb" w:eastAsia="en-US" w:bidi="ar-SA"/>
    </w:rPr>
  </w:style>
  <w:style w:styleId="Heading1" w:type="paragraph">
    <w:name w:val="Heading 1"/>
    <w:basedOn w:val="Normal"/>
    <w:uiPriority w:val="1"/>
    <w:qFormat/>
    <w:pPr>
      <w:spacing w:before="143"/>
      <w:ind w:left="360"/>
      <w:outlineLvl w:val="1"/>
    </w:pPr>
    <w:rPr>
      <w:rFonts w:ascii="Avenir" w:hAnsi="Avenir" w:eastAsia="Avenir" w:cs="Avenir"/>
      <w:b/>
      <w:bCs/>
      <w:sz w:val="36"/>
      <w:szCs w:val="36"/>
      <w:lang w:val="en-gb" w:eastAsia="en-US" w:bidi="ar-SA"/>
    </w:rPr>
  </w:style>
  <w:style w:styleId="Heading2" w:type="paragraph">
    <w:name w:val="Heading 2"/>
    <w:basedOn w:val="Normal"/>
    <w:uiPriority w:val="1"/>
    <w:qFormat/>
    <w:pPr>
      <w:ind w:left="1239" w:right="1262"/>
      <w:outlineLvl w:val="2"/>
    </w:pPr>
    <w:rPr>
      <w:rFonts w:ascii="Avenir" w:hAnsi="Avenir" w:eastAsia="Avenir" w:cs="Avenir"/>
      <w:b/>
      <w:bCs/>
      <w:sz w:val="26"/>
      <w:szCs w:val="26"/>
      <w:lang w:val="en-gb" w:eastAsia="en-US" w:bidi="ar-SA"/>
    </w:rPr>
  </w:style>
  <w:style w:styleId="Heading3" w:type="paragraph">
    <w:name w:val="Heading 3"/>
    <w:basedOn w:val="Normal"/>
    <w:uiPriority w:val="1"/>
    <w:qFormat/>
    <w:pPr>
      <w:spacing w:line="220" w:lineRule="exact"/>
      <w:outlineLvl w:val="3"/>
    </w:pPr>
    <w:rPr>
      <w:rFonts w:ascii="Avenir" w:hAnsi="Avenir" w:eastAsia="Avenir" w:cs="Avenir"/>
      <w:b/>
      <w:bCs/>
      <w:sz w:val="22"/>
      <w:szCs w:val="22"/>
      <w:lang w:val="en-gb" w:eastAsia="en-US" w:bidi="ar-SA"/>
    </w:rPr>
  </w:style>
  <w:style w:styleId="Title" w:type="paragraph">
    <w:name w:val="Title"/>
    <w:basedOn w:val="Normal"/>
    <w:uiPriority w:val="1"/>
    <w:qFormat/>
    <w:pPr>
      <w:spacing w:before="167"/>
      <w:ind w:left="160"/>
    </w:pPr>
    <w:rPr>
      <w:rFonts w:ascii="Arial" w:hAnsi="Arial" w:eastAsia="Arial" w:cs="Arial"/>
      <w:b/>
      <w:bCs/>
      <w:sz w:val="93"/>
      <w:szCs w:val="93"/>
      <w:lang w:val="en-gb" w:eastAsia="en-US" w:bidi="ar-SA"/>
    </w:rPr>
  </w:style>
  <w:style w:styleId="ListParagraph" w:type="paragraph">
    <w:name w:val="List Paragraph"/>
    <w:basedOn w:val="Normal"/>
    <w:uiPriority w:val="1"/>
    <w:qFormat/>
    <w:pPr>
      <w:spacing w:before="114"/>
      <w:ind w:left="2730" w:hanging="340"/>
    </w:pPr>
    <w:rPr>
      <w:rFonts w:ascii="Avenir-Book" w:hAnsi="Avenir-Book" w:eastAsia="Avenir-Book" w:cs="Avenir-Book"/>
      <w:lang w:val="en-gb" w:eastAsia="en-US" w:bidi="ar-SA"/>
    </w:rPr>
  </w:style>
  <w:style w:styleId="TableParagraph" w:type="paragraph">
    <w:name w:val="Table Paragraph"/>
    <w:basedOn w:val="Normal"/>
    <w:uiPriority w:val="1"/>
    <w:qFormat/>
    <w:pPr/>
    <w:rPr>
      <w:rFonts w:ascii="Avenir-Book" w:hAnsi="Avenir-Book" w:eastAsia="Avenir-Book" w:cs="Avenir-Book"/>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hyperlink" Target="http://www.stonewall.org.uk/workplace-equality-index" TargetMode="External"/><Relationship Id="rId43" Type="http://schemas.openxmlformats.org/officeDocument/2006/relationships/hyperlink" Target="http://www.kivaprogram.net/wales" TargetMode="External"/><Relationship Id="rId44" Type="http://schemas.openxmlformats.org/officeDocument/2006/relationships/hyperlink" Target="https://gov.wales/topics/health/publications/socialcare/reports/accountability/?lang=en" TargetMode="External"/><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hyperlink" Target="https://www.beds.ac.uk/ic/current-projects/contextual-safeguarding-programme" TargetMode="External"/><Relationship Id="rId54" Type="http://schemas.openxmlformats.org/officeDocument/2006/relationships/hyperlink" Target="https://www.hiqa.ie/reports-and-publications/standard/background-document-support-development-national-standards-adult" TargetMode="External"/><Relationship Id="rId55" Type="http://schemas.openxmlformats.org/officeDocument/2006/relationships/hyperlink" Target="https://www.keele.ac.uk/law/newsevents/events/archive/2018/ab-sallyseminar-series3.php" TargetMode="External"/><Relationship Id="rId56" Type="http://schemas.openxmlformats.org/officeDocument/2006/relationships/hyperlink" Target="https://socialcare.wales/hub/sswbact" TargetMode="External"/><Relationship Id="rId57" Type="http://schemas.openxmlformats.org/officeDocument/2006/relationships/hyperlink" Target="http://gov.wales/docs/dhss/publications/160127socialservicesacten.pdf" TargetMode="External"/><Relationship Id="rId58" Type="http://schemas.openxmlformats.org/officeDocument/2006/relationships/hyperlink" Target="https://socialcare.wales/hub/sswbact-codes" TargetMode="External"/><Relationship Id="rId59" Type="http://schemas.openxmlformats.org/officeDocument/2006/relationships/hyperlink" Target="http://www.theguardian.com/education/2018/sep/02/barbaric-school-punishment-of-consequence-rooms-criticised-by-parents?CMP=Share_AndroidApp_Email" TargetMode="External"/><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hyperlink" Target="http://www.safeguardingboard.wales/" TargetMode="External"/><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2020-11-05T21:22:43Z</dcterms:created>
  <dcterms:modified xsi:type="dcterms:W3CDTF">2020-11-05T21:22:43Z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2018-12-04T00:00:00Z</vt:filetime>
  </property>
  <property fmtid="{D5CDD505-2E9C-101B-9397-08002B2CF9AE}" pid="3" name="Creator">
    <vt:lpwstr>Adobe InDesign CC 14.0 (Macintosh)</vt:lpwstr>
  </property>
  <property fmtid="{D5CDD505-2E9C-101B-9397-08002B2CF9AE}" pid="4" name="LastSaved">
    <vt:filetime>2020-11-05T00:00:00Z</vt:filetime>
  </property>
</Properties>
</file>