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drawing>
          <wp:inline distT="0" distB="0" distL="0" distR="0">
            <wp:extent cx="447320" cy="184404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47320" cy="18440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Title"/>
      </w:pPr>
      <w:r>
        <w:rPr>
          <w:color w:val="CD041D"/>
        </w:rPr>
        <w:t>National Independent Safeguarding</w:t>
      </w:r>
      <w:r>
        <w:rPr>
          <w:color w:val="CD041D"/>
          <w:spacing w:val="-25"/>
        </w:rPr>
        <w:t> </w:t>
      </w:r>
      <w:r>
        <w:rPr>
          <w:color w:val="CD041D"/>
        </w:rPr>
        <w:t>Board</w:t>
      </w:r>
    </w:p>
    <w:p>
      <w:pPr>
        <w:spacing w:before="77"/>
        <w:ind w:left="0" w:right="635" w:firstLine="0"/>
        <w:jc w:val="right"/>
        <w:rPr>
          <w:sz w:val="32"/>
        </w:rPr>
      </w:pPr>
      <w:r>
        <w:rPr>
          <w:sz w:val="32"/>
        </w:rPr>
        <w:t>Advice</w:t>
      </w:r>
      <w:r>
        <w:rPr>
          <w:spacing w:val="-5"/>
          <w:sz w:val="32"/>
        </w:rPr>
        <w:t> </w:t>
      </w:r>
      <w:r>
        <w:rPr>
          <w:sz w:val="32"/>
        </w:rPr>
        <w:t>note</w:t>
      </w:r>
    </w:p>
    <w:p>
      <w:pPr>
        <w:pStyle w:val="BodyText"/>
        <w:spacing w:before="11"/>
        <w:rPr>
          <w:sz w:val="45"/>
        </w:rPr>
      </w:pPr>
    </w:p>
    <w:p>
      <w:pPr>
        <w:pStyle w:val="BodyText"/>
        <w:ind w:right="707"/>
        <w:jc w:val="right"/>
      </w:pPr>
      <w:r>
        <w:rPr/>
        <w:t>November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r>
        <w:rPr/>
        <w:drawing>
          <wp:anchor distT="0" distB="0" distL="0" distR="0" allowOverlap="1" layoutInCell="1" locked="0" behindDoc="0" simplePos="0" relativeHeight="0">
            <wp:simplePos x="0" y="0"/>
            <wp:positionH relativeFrom="page">
              <wp:posOffset>4125499</wp:posOffset>
            </wp:positionH>
            <wp:positionV relativeFrom="paragraph">
              <wp:posOffset>177556</wp:posOffset>
            </wp:positionV>
            <wp:extent cx="2862804" cy="3330702"/>
            <wp:effectExtent l="0" t="0" r="0" b="0"/>
            <wp:wrapTopAndBottom/>
            <wp:docPr id="3" name="image2.jpeg" descr="C:\Users\isaacss\AppData\Local\Microsoft\Windows\Temporary Internet Files\Content.Outlook\3B34KOCA\Books_briefcase_purple.jp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62804" cy="3330702"/>
                    </a:xfrm>
                    <a:prstGeom prst="rect">
                      <a:avLst/>
                    </a:prstGeom>
                  </pic:spPr>
                </pic:pic>
              </a:graphicData>
            </a:graphic>
          </wp:anchor>
        </w:drawing>
      </w:r>
    </w:p>
    <w:p>
      <w:pPr>
        <w:spacing w:after="0"/>
        <w:rPr>
          <w:sz w:val="19"/>
        </w:rPr>
        <w:sectPr>
          <w:footerReference w:type="default" r:id="rId5"/>
          <w:type w:val="continuous"/>
          <w:pgSz w:w="11910" w:h="16850"/>
          <w:pgMar w:footer="643" w:top="440" w:bottom="840" w:left="340" w:right="780"/>
          <w:pgNumType w:start="1"/>
        </w:sectPr>
      </w:pPr>
    </w:p>
    <w:p>
      <w:pPr>
        <w:pStyle w:val="Heading1"/>
        <w:spacing w:before="76"/>
      </w:pPr>
      <w:r>
        <w:rPr>
          <w:color w:val="FF0000"/>
        </w:rPr>
        <w:t>Background</w:t>
      </w:r>
    </w:p>
    <w:p>
      <w:pPr>
        <w:pStyle w:val="BodyText"/>
        <w:spacing w:line="312" w:lineRule="auto" w:before="242"/>
        <w:ind w:left="1078" w:right="633"/>
        <w:jc w:val="both"/>
      </w:pPr>
      <w:r>
        <w:rPr/>
        <w:t>Advice has been sought by the National Independent Safeguarding Board (“NISB”) on a number of queries concerning the legal status of Regional Safeguarding Boards (“RSBs”) and governance issues arising in connection with Adult Practice Reviews and Child Practice Reviews which they undertake.</w:t>
      </w:r>
    </w:p>
    <w:p>
      <w:pPr>
        <w:pStyle w:val="BodyText"/>
        <w:spacing w:before="9"/>
        <w:rPr>
          <w:sz w:val="19"/>
        </w:rPr>
      </w:pPr>
    </w:p>
    <w:p>
      <w:pPr>
        <w:pStyle w:val="BodyText"/>
        <w:spacing w:line="312" w:lineRule="auto"/>
        <w:ind w:left="1078" w:right="634"/>
        <w:jc w:val="both"/>
      </w:pPr>
      <w:r>
        <w:rPr/>
        <w:t>This request for advice arises as a consequence of the death in 2011 of Dylan Seabridge, an 8 year old home schooled boy, in Pembrokeshire. In accordance with the statutory framework, the local RSB was required to undertake a Child Practice Review (CPR) in these circumstances. The case received much media attention, resulting in multiple FOI requests being made to the Regional Safeguarding Board relating to the CPR. Difficulties arose around handling the FOIs, specifically relating to the status of draft versions of the Regional Safeguarding Board’s CPR.</w:t>
      </w:r>
    </w:p>
    <w:p>
      <w:pPr>
        <w:pStyle w:val="BodyText"/>
        <w:spacing w:before="10"/>
        <w:rPr>
          <w:sz w:val="19"/>
        </w:rPr>
      </w:pPr>
    </w:p>
    <w:p>
      <w:pPr>
        <w:pStyle w:val="BodyText"/>
        <w:ind w:left="1078"/>
        <w:jc w:val="both"/>
      </w:pPr>
      <w:r>
        <w:rPr/>
        <w:t>As a result of these difficulties, questions arose regarding the status of Regional Safeguarding Boards</w:t>
      </w:r>
    </w:p>
    <w:p>
      <w:pPr>
        <w:pStyle w:val="BodyText"/>
        <w:spacing w:line="309" w:lineRule="auto" w:before="67"/>
        <w:ind w:left="1078" w:right="631"/>
        <w:jc w:val="both"/>
      </w:pPr>
      <w:r>
        <w:rPr/>
        <w:t>- multi agency boards usually chaired by a Director of Social Services at a local authority, with staff being employed by local authorities.</w:t>
      </w:r>
    </w:p>
    <w:p>
      <w:pPr>
        <w:pStyle w:val="BodyText"/>
        <w:spacing w:before="10"/>
        <w:rPr>
          <w:sz w:val="19"/>
        </w:rPr>
      </w:pPr>
    </w:p>
    <w:p>
      <w:pPr>
        <w:pStyle w:val="Heading1"/>
      </w:pPr>
      <w:r>
        <w:rPr>
          <w:color w:val="FF0000"/>
        </w:rPr>
        <w:t>Advice</w:t>
      </w:r>
    </w:p>
    <w:p>
      <w:pPr>
        <w:pStyle w:val="BodyText"/>
        <w:spacing w:line="314" w:lineRule="auto" w:before="242"/>
        <w:ind w:left="1078" w:right="741"/>
      </w:pPr>
      <w:r>
        <w:rPr/>
        <w:t>Eversheds Sutherland has been commissioned to advise on a number of specific questions relating to these issues. Dealing with each question in turn:-</w:t>
      </w:r>
    </w:p>
    <w:p>
      <w:pPr>
        <w:pStyle w:val="BodyText"/>
        <w:spacing w:before="4"/>
        <w:rPr>
          <w:sz w:val="19"/>
        </w:rPr>
      </w:pPr>
    </w:p>
    <w:p>
      <w:pPr>
        <w:pStyle w:val="Heading2"/>
        <w:numPr>
          <w:ilvl w:val="0"/>
          <w:numId w:val="1"/>
        </w:numPr>
        <w:tabs>
          <w:tab w:pos="1930" w:val="left" w:leader="none"/>
          <w:tab w:pos="1931" w:val="left" w:leader="none"/>
        </w:tabs>
        <w:spacing w:line="240" w:lineRule="auto" w:before="1" w:after="0"/>
        <w:ind w:left="1930" w:right="0" w:hanging="853"/>
        <w:jc w:val="left"/>
      </w:pPr>
      <w:r>
        <w:rPr/>
        <w:t>In law what is the legal status of a Regional Safeguarding</w:t>
      </w:r>
      <w:r>
        <w:rPr>
          <w:spacing w:val="-14"/>
        </w:rPr>
        <w:t> </w:t>
      </w:r>
      <w:r>
        <w:rPr/>
        <w:t>Board?</w:t>
      </w:r>
    </w:p>
    <w:p>
      <w:pPr>
        <w:pStyle w:val="BodyText"/>
        <w:spacing w:before="2"/>
        <w:rPr>
          <w:b/>
          <w:sz w:val="25"/>
        </w:rPr>
      </w:pPr>
    </w:p>
    <w:p>
      <w:pPr>
        <w:pStyle w:val="BodyText"/>
        <w:spacing w:line="312" w:lineRule="auto" w:before="1"/>
        <w:ind w:left="1930" w:right="629"/>
        <w:jc w:val="both"/>
      </w:pPr>
      <w:r>
        <w:rPr/>
        <w:t>Section</w:t>
      </w:r>
      <w:r>
        <w:rPr>
          <w:spacing w:val="-7"/>
        </w:rPr>
        <w:t> </w:t>
      </w:r>
      <w:r>
        <w:rPr/>
        <w:t>134(1)</w:t>
      </w:r>
      <w:r>
        <w:rPr>
          <w:spacing w:val="-12"/>
        </w:rPr>
        <w:t> </w:t>
      </w:r>
      <w:r>
        <w:rPr/>
        <w:t>of</w:t>
      </w:r>
      <w:r>
        <w:rPr>
          <w:spacing w:val="-11"/>
        </w:rPr>
        <w:t> </w:t>
      </w:r>
      <w:r>
        <w:rPr/>
        <w:t>the</w:t>
      </w:r>
      <w:r>
        <w:rPr>
          <w:spacing w:val="-5"/>
        </w:rPr>
        <w:t> </w:t>
      </w:r>
      <w:r>
        <w:rPr>
          <w:u w:val="single"/>
        </w:rPr>
        <w:t>Social</w:t>
      </w:r>
      <w:r>
        <w:rPr>
          <w:spacing w:val="-4"/>
          <w:u w:val="single"/>
        </w:rPr>
        <w:t> </w:t>
      </w:r>
      <w:r>
        <w:rPr>
          <w:u w:val="single"/>
        </w:rPr>
        <w:t>Services</w:t>
      </w:r>
      <w:r>
        <w:rPr>
          <w:spacing w:val="-5"/>
          <w:u w:val="single"/>
        </w:rPr>
        <w:t> </w:t>
      </w:r>
      <w:r>
        <w:rPr>
          <w:u w:val="single"/>
        </w:rPr>
        <w:t>and</w:t>
      </w:r>
      <w:r>
        <w:rPr>
          <w:spacing w:val="-12"/>
          <w:u w:val="single"/>
        </w:rPr>
        <w:t> </w:t>
      </w:r>
      <w:r>
        <w:rPr>
          <w:u w:val="single"/>
        </w:rPr>
        <w:t>Well-being</w:t>
      </w:r>
      <w:r>
        <w:rPr>
          <w:spacing w:val="-7"/>
          <w:u w:val="single"/>
        </w:rPr>
        <w:t> </w:t>
      </w:r>
      <w:r>
        <w:rPr>
          <w:u w:val="single"/>
        </w:rPr>
        <w:t>(Wales)</w:t>
      </w:r>
      <w:r>
        <w:rPr>
          <w:spacing w:val="-6"/>
          <w:u w:val="single"/>
        </w:rPr>
        <w:t> </w:t>
      </w:r>
      <w:r>
        <w:rPr>
          <w:u w:val="single"/>
        </w:rPr>
        <w:t>Act</w:t>
      </w:r>
      <w:r>
        <w:rPr>
          <w:spacing w:val="-8"/>
          <w:u w:val="single"/>
        </w:rPr>
        <w:t> </w:t>
      </w:r>
      <w:r>
        <w:rPr>
          <w:u w:val="single"/>
        </w:rPr>
        <w:t>2014</w:t>
      </w:r>
      <w:r>
        <w:rPr>
          <w:spacing w:val="-8"/>
        </w:rPr>
        <w:t> </w:t>
      </w:r>
      <w:r>
        <w:rPr/>
        <w:t>(“the</w:t>
      </w:r>
      <w:r>
        <w:rPr>
          <w:spacing w:val="-7"/>
        </w:rPr>
        <w:t> </w:t>
      </w:r>
      <w:r>
        <w:rPr/>
        <w:t>Act”)</w:t>
      </w:r>
      <w:r>
        <w:rPr>
          <w:spacing w:val="-6"/>
        </w:rPr>
        <w:t> </w:t>
      </w:r>
      <w:r>
        <w:rPr/>
        <w:t>provides that “Regulations must set out those areas in Wales for which there are to be Safeguarding Boards (“Safeguarding Board</w:t>
      </w:r>
      <w:r>
        <w:rPr>
          <w:spacing w:val="-1"/>
        </w:rPr>
        <w:t> </w:t>
      </w:r>
      <w:r>
        <w:rPr/>
        <w:t>areas”).”</w:t>
      </w:r>
    </w:p>
    <w:p>
      <w:pPr>
        <w:pStyle w:val="BodyText"/>
        <w:spacing w:before="8"/>
        <w:rPr>
          <w:sz w:val="19"/>
        </w:rPr>
      </w:pPr>
    </w:p>
    <w:p>
      <w:pPr>
        <w:pStyle w:val="BodyText"/>
        <w:spacing w:line="312" w:lineRule="auto"/>
        <w:ind w:left="1930" w:right="627"/>
        <w:jc w:val="both"/>
      </w:pPr>
      <w:r>
        <w:rPr/>
        <w:t>The Safeguarding Boards (General) (Wales) Regulations 2015 set out the relevant Safeguarding Board Areas as being the principal local government areas (regulation 3 and Schedule 1), namely, Cardiff and Vale </w:t>
      </w:r>
      <w:r>
        <w:rPr>
          <w:spacing w:val="-4"/>
        </w:rPr>
        <w:t>(covering Cardiff </w:t>
      </w:r>
      <w:r>
        <w:rPr>
          <w:spacing w:val="-3"/>
        </w:rPr>
        <w:t>and </w:t>
      </w:r>
      <w:r>
        <w:rPr>
          <w:spacing w:val="-2"/>
        </w:rPr>
        <w:t>the </w:t>
      </w:r>
      <w:r>
        <w:rPr>
          <w:spacing w:val="-3"/>
        </w:rPr>
        <w:t>Vale </w:t>
      </w:r>
      <w:r>
        <w:rPr/>
        <w:t>of </w:t>
      </w:r>
      <w:r>
        <w:rPr>
          <w:spacing w:val="-3"/>
        </w:rPr>
        <w:t>Glamorgan), </w:t>
      </w:r>
      <w:r>
        <w:rPr/>
        <w:t>Cwm Taf (Merthyr Tydfil and Rhondda Cynon Taf), Gwent (Blaenau Gwent, Caerphilly, Monmouthshire, Newport and Torfaen), Mid and West Wales </w:t>
      </w:r>
      <w:r>
        <w:rPr>
          <w:spacing w:val="-4"/>
        </w:rPr>
        <w:t>(Carmarthenshire, </w:t>
      </w:r>
      <w:r>
        <w:rPr>
          <w:spacing w:val="-3"/>
        </w:rPr>
        <w:t>Ceredigion, </w:t>
      </w:r>
      <w:r>
        <w:rPr>
          <w:spacing w:val="-4"/>
        </w:rPr>
        <w:t>Pembrokeshire</w:t>
      </w:r>
      <w:r>
        <w:rPr>
          <w:spacing w:val="-10"/>
        </w:rPr>
        <w:t> </w:t>
      </w:r>
      <w:r>
        <w:rPr>
          <w:spacing w:val="-3"/>
        </w:rPr>
        <w:t>and</w:t>
      </w:r>
      <w:r>
        <w:rPr>
          <w:spacing w:val="-10"/>
        </w:rPr>
        <w:t> </w:t>
      </w:r>
      <w:r>
        <w:rPr>
          <w:spacing w:val="-3"/>
        </w:rPr>
        <w:t>Powys),</w:t>
      </w:r>
      <w:r>
        <w:rPr>
          <w:spacing w:val="-8"/>
        </w:rPr>
        <w:t> </w:t>
      </w:r>
      <w:r>
        <w:rPr/>
        <w:t>North</w:t>
      </w:r>
      <w:r>
        <w:rPr>
          <w:spacing w:val="-14"/>
        </w:rPr>
        <w:t> </w:t>
      </w:r>
      <w:r>
        <w:rPr/>
        <w:t>Wales</w:t>
      </w:r>
      <w:r>
        <w:rPr>
          <w:spacing w:val="-6"/>
        </w:rPr>
        <w:t> </w:t>
      </w:r>
      <w:r>
        <w:rPr/>
        <w:t>(Conwy,</w:t>
      </w:r>
      <w:r>
        <w:rPr>
          <w:spacing w:val="-6"/>
        </w:rPr>
        <w:t> </w:t>
      </w:r>
      <w:r>
        <w:rPr/>
        <w:t>Denbighshire,</w:t>
      </w:r>
      <w:r>
        <w:rPr>
          <w:spacing w:val="-7"/>
        </w:rPr>
        <w:t> </w:t>
      </w:r>
      <w:r>
        <w:rPr/>
        <w:t>Flintshire,</w:t>
      </w:r>
      <w:r>
        <w:rPr>
          <w:spacing w:val="-7"/>
        </w:rPr>
        <w:t> </w:t>
      </w:r>
      <w:r>
        <w:rPr/>
        <w:t>Gwynedd,</w:t>
      </w:r>
      <w:r>
        <w:rPr>
          <w:spacing w:val="-6"/>
        </w:rPr>
        <w:t> </w:t>
      </w:r>
      <w:r>
        <w:rPr/>
        <w:t>isle</w:t>
      </w:r>
      <w:r>
        <w:rPr>
          <w:spacing w:val="-6"/>
        </w:rPr>
        <w:t> </w:t>
      </w:r>
      <w:r>
        <w:rPr/>
        <w:t>of Anglesey and Wrexham) and Western Bay </w:t>
      </w:r>
      <w:r>
        <w:rPr>
          <w:spacing w:val="-3"/>
        </w:rPr>
        <w:t>(Bridgend, Swansea and Neath Port</w:t>
      </w:r>
      <w:r>
        <w:rPr>
          <w:spacing w:val="-40"/>
        </w:rPr>
        <w:t> </w:t>
      </w:r>
      <w:r>
        <w:rPr>
          <w:spacing w:val="-3"/>
        </w:rPr>
        <w:t>Talbot).</w:t>
      </w:r>
    </w:p>
    <w:p>
      <w:pPr>
        <w:pStyle w:val="BodyText"/>
        <w:spacing w:before="10"/>
        <w:rPr>
          <w:sz w:val="19"/>
        </w:rPr>
      </w:pPr>
    </w:p>
    <w:p>
      <w:pPr>
        <w:pStyle w:val="BodyText"/>
        <w:spacing w:line="309" w:lineRule="auto"/>
        <w:ind w:left="1930" w:right="630"/>
        <w:jc w:val="both"/>
      </w:pPr>
      <w:r>
        <w:rPr/>
        <w:t>An RSB is constituted of a number of “Safeguarding Board partner[s]” under section 134(2) of the Act:</w:t>
      </w:r>
    </w:p>
    <w:p>
      <w:pPr>
        <w:pStyle w:val="BodyText"/>
        <w:spacing w:before="2"/>
        <w:rPr>
          <w:sz w:val="20"/>
        </w:rPr>
      </w:pPr>
    </w:p>
    <w:p>
      <w:pPr>
        <w:spacing w:line="309" w:lineRule="auto" w:before="0"/>
        <w:ind w:left="1899" w:right="631" w:firstLine="0"/>
        <w:jc w:val="both"/>
        <w:rPr>
          <w:i/>
          <w:sz w:val="18"/>
        </w:rPr>
      </w:pPr>
      <w:r>
        <w:rPr>
          <w:i/>
          <w:sz w:val="18"/>
        </w:rPr>
        <w:t>“(2) Each of the following is a Safeguarding Board partner in relation to a Safeguarding Board area—</w:t>
      </w:r>
    </w:p>
    <w:p>
      <w:pPr>
        <w:pStyle w:val="BodyText"/>
        <w:spacing w:before="1"/>
        <w:rPr>
          <w:i/>
          <w:sz w:val="20"/>
        </w:rPr>
      </w:pPr>
    </w:p>
    <w:p>
      <w:pPr>
        <w:pStyle w:val="ListParagraph"/>
        <w:numPr>
          <w:ilvl w:val="1"/>
          <w:numId w:val="1"/>
        </w:numPr>
        <w:tabs>
          <w:tab w:pos="3038" w:val="left" w:leader="none"/>
        </w:tabs>
        <w:spacing w:line="309" w:lineRule="auto" w:before="1" w:after="0"/>
        <w:ind w:left="2619" w:right="631" w:firstLine="0"/>
        <w:jc w:val="left"/>
        <w:rPr>
          <w:i/>
          <w:sz w:val="18"/>
        </w:rPr>
      </w:pPr>
      <w:r>
        <w:rPr>
          <w:i/>
          <w:sz w:val="18"/>
        </w:rPr>
        <w:t>the local authority for an area, any part of which falls within the Safeguarding Board</w:t>
      </w:r>
      <w:r>
        <w:rPr>
          <w:i/>
          <w:spacing w:val="-2"/>
          <w:sz w:val="18"/>
        </w:rPr>
        <w:t> </w:t>
      </w:r>
      <w:r>
        <w:rPr>
          <w:i/>
          <w:sz w:val="18"/>
        </w:rPr>
        <w:t>area;</w:t>
      </w:r>
    </w:p>
    <w:p>
      <w:pPr>
        <w:pStyle w:val="BodyText"/>
        <w:spacing w:before="1"/>
        <w:rPr>
          <w:i/>
          <w:sz w:val="20"/>
        </w:rPr>
      </w:pPr>
    </w:p>
    <w:p>
      <w:pPr>
        <w:pStyle w:val="ListParagraph"/>
        <w:numPr>
          <w:ilvl w:val="1"/>
          <w:numId w:val="1"/>
        </w:numPr>
        <w:tabs>
          <w:tab w:pos="2961" w:val="left" w:leader="none"/>
        </w:tabs>
        <w:spacing w:line="309" w:lineRule="auto" w:before="0" w:after="0"/>
        <w:ind w:left="2598" w:right="635" w:firstLine="0"/>
        <w:jc w:val="left"/>
        <w:rPr>
          <w:i/>
          <w:sz w:val="18"/>
        </w:rPr>
      </w:pPr>
      <w:r>
        <w:rPr>
          <w:i/>
          <w:sz w:val="18"/>
        </w:rPr>
        <w:t>the chief officer of police for a police area, any part of which falls within the Safeguarding Board</w:t>
      </w:r>
      <w:r>
        <w:rPr>
          <w:i/>
          <w:spacing w:val="-2"/>
          <w:sz w:val="18"/>
        </w:rPr>
        <w:t> </w:t>
      </w:r>
      <w:r>
        <w:rPr>
          <w:i/>
          <w:sz w:val="18"/>
        </w:rPr>
        <w:t>area;</w:t>
      </w:r>
    </w:p>
    <w:p>
      <w:pPr>
        <w:pStyle w:val="BodyText"/>
        <w:spacing w:before="1"/>
        <w:rPr>
          <w:i/>
          <w:sz w:val="20"/>
        </w:rPr>
      </w:pPr>
    </w:p>
    <w:p>
      <w:pPr>
        <w:pStyle w:val="ListParagraph"/>
        <w:numPr>
          <w:ilvl w:val="1"/>
          <w:numId w:val="1"/>
        </w:numPr>
        <w:tabs>
          <w:tab w:pos="2911" w:val="left" w:leader="none"/>
        </w:tabs>
        <w:spacing w:line="309" w:lineRule="auto" w:before="0" w:after="0"/>
        <w:ind w:left="2598" w:right="718" w:firstLine="0"/>
        <w:jc w:val="left"/>
        <w:rPr>
          <w:i/>
          <w:sz w:val="18"/>
        </w:rPr>
      </w:pPr>
      <w:r>
        <w:rPr>
          <w:i/>
          <w:sz w:val="18"/>
        </w:rPr>
        <w:t>a</w:t>
      </w:r>
      <w:r>
        <w:rPr>
          <w:i/>
          <w:spacing w:val="-9"/>
          <w:sz w:val="18"/>
        </w:rPr>
        <w:t> </w:t>
      </w:r>
      <w:r>
        <w:rPr>
          <w:i/>
          <w:sz w:val="18"/>
        </w:rPr>
        <w:t>Local</w:t>
      </w:r>
      <w:r>
        <w:rPr>
          <w:i/>
          <w:spacing w:val="-10"/>
          <w:sz w:val="18"/>
        </w:rPr>
        <w:t> </w:t>
      </w:r>
      <w:r>
        <w:rPr>
          <w:i/>
          <w:sz w:val="18"/>
        </w:rPr>
        <w:t>Health</w:t>
      </w:r>
      <w:r>
        <w:rPr>
          <w:i/>
          <w:spacing w:val="-9"/>
          <w:sz w:val="18"/>
        </w:rPr>
        <w:t> </w:t>
      </w:r>
      <w:r>
        <w:rPr>
          <w:i/>
          <w:sz w:val="18"/>
        </w:rPr>
        <w:t>Board</w:t>
      </w:r>
      <w:r>
        <w:rPr>
          <w:i/>
          <w:spacing w:val="-10"/>
          <w:sz w:val="18"/>
        </w:rPr>
        <w:t> </w:t>
      </w:r>
      <w:r>
        <w:rPr>
          <w:i/>
          <w:sz w:val="18"/>
        </w:rPr>
        <w:t>for</w:t>
      </w:r>
      <w:r>
        <w:rPr>
          <w:i/>
          <w:spacing w:val="-11"/>
          <w:sz w:val="18"/>
        </w:rPr>
        <w:t> </w:t>
      </w:r>
      <w:r>
        <w:rPr>
          <w:i/>
          <w:sz w:val="18"/>
        </w:rPr>
        <w:t>an</w:t>
      </w:r>
      <w:r>
        <w:rPr>
          <w:i/>
          <w:spacing w:val="-9"/>
          <w:sz w:val="18"/>
        </w:rPr>
        <w:t> </w:t>
      </w:r>
      <w:r>
        <w:rPr>
          <w:i/>
          <w:sz w:val="18"/>
        </w:rPr>
        <w:t>area,</w:t>
      </w:r>
      <w:r>
        <w:rPr>
          <w:i/>
          <w:spacing w:val="-11"/>
          <w:sz w:val="18"/>
        </w:rPr>
        <w:t> </w:t>
      </w:r>
      <w:r>
        <w:rPr>
          <w:i/>
          <w:sz w:val="18"/>
        </w:rPr>
        <w:t>any</w:t>
      </w:r>
      <w:r>
        <w:rPr>
          <w:i/>
          <w:spacing w:val="-7"/>
          <w:sz w:val="18"/>
        </w:rPr>
        <w:t> </w:t>
      </w:r>
      <w:r>
        <w:rPr>
          <w:i/>
          <w:sz w:val="18"/>
        </w:rPr>
        <w:t>part</w:t>
      </w:r>
      <w:r>
        <w:rPr>
          <w:i/>
          <w:spacing w:val="-6"/>
          <w:sz w:val="18"/>
        </w:rPr>
        <w:t> </w:t>
      </w:r>
      <w:r>
        <w:rPr>
          <w:i/>
          <w:sz w:val="18"/>
        </w:rPr>
        <w:t>of</w:t>
      </w:r>
      <w:r>
        <w:rPr>
          <w:i/>
          <w:spacing w:val="-9"/>
          <w:sz w:val="18"/>
        </w:rPr>
        <w:t> </w:t>
      </w:r>
      <w:r>
        <w:rPr>
          <w:i/>
          <w:sz w:val="18"/>
        </w:rPr>
        <w:t>which</w:t>
      </w:r>
      <w:r>
        <w:rPr>
          <w:i/>
          <w:spacing w:val="-9"/>
          <w:sz w:val="18"/>
        </w:rPr>
        <w:t> </w:t>
      </w:r>
      <w:r>
        <w:rPr>
          <w:i/>
          <w:sz w:val="18"/>
        </w:rPr>
        <w:t>fall</w:t>
      </w:r>
      <w:r>
        <w:rPr>
          <w:i/>
          <w:spacing w:val="46"/>
          <w:sz w:val="18"/>
        </w:rPr>
        <w:t> </w:t>
      </w:r>
      <w:r>
        <w:rPr>
          <w:i/>
          <w:sz w:val="18"/>
        </w:rPr>
        <w:t>within</w:t>
      </w:r>
      <w:r>
        <w:rPr>
          <w:i/>
          <w:spacing w:val="-12"/>
          <w:sz w:val="18"/>
        </w:rPr>
        <w:t> </w:t>
      </w:r>
      <w:r>
        <w:rPr>
          <w:i/>
          <w:sz w:val="18"/>
        </w:rPr>
        <w:t>the</w:t>
      </w:r>
      <w:r>
        <w:rPr>
          <w:i/>
          <w:spacing w:val="-7"/>
          <w:sz w:val="18"/>
        </w:rPr>
        <w:t> </w:t>
      </w:r>
      <w:r>
        <w:rPr>
          <w:i/>
          <w:sz w:val="18"/>
        </w:rPr>
        <w:t>Safeguarding Board</w:t>
      </w:r>
      <w:r>
        <w:rPr>
          <w:i/>
          <w:spacing w:val="-2"/>
          <w:sz w:val="18"/>
        </w:rPr>
        <w:t> </w:t>
      </w:r>
      <w:r>
        <w:rPr>
          <w:i/>
          <w:sz w:val="18"/>
        </w:rPr>
        <w:t>area;</w:t>
      </w:r>
    </w:p>
    <w:p>
      <w:pPr>
        <w:spacing w:after="0" w:line="309" w:lineRule="auto"/>
        <w:jc w:val="left"/>
        <w:rPr>
          <w:sz w:val="18"/>
        </w:rPr>
        <w:sectPr>
          <w:pgSz w:w="11910" w:h="16850"/>
          <w:pgMar w:header="0" w:footer="643" w:top="1340" w:bottom="840" w:left="340" w:right="7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15"/>
        </w:rPr>
      </w:pPr>
    </w:p>
    <w:p>
      <w:pPr>
        <w:pStyle w:val="ListParagraph"/>
        <w:numPr>
          <w:ilvl w:val="1"/>
          <w:numId w:val="1"/>
        </w:numPr>
        <w:tabs>
          <w:tab w:pos="2937" w:val="left" w:leader="none"/>
        </w:tabs>
        <w:spacing w:line="240" w:lineRule="auto" w:before="100" w:after="0"/>
        <w:ind w:left="2936" w:right="0" w:hanging="339"/>
        <w:jc w:val="both"/>
        <w:rPr>
          <w:i/>
          <w:sz w:val="18"/>
        </w:rPr>
      </w:pPr>
      <w:r>
        <w:rPr/>
        <w:drawing>
          <wp:anchor distT="0" distB="0" distL="0" distR="0" allowOverlap="1" layoutInCell="1" locked="0" behindDoc="0" simplePos="0" relativeHeight="15729664">
            <wp:simplePos x="0" y="0"/>
            <wp:positionH relativeFrom="page">
              <wp:posOffset>282994</wp:posOffset>
            </wp:positionH>
            <wp:positionV relativeFrom="paragraph">
              <wp:posOffset>-892322</wp:posOffset>
            </wp:positionV>
            <wp:extent cx="443191" cy="182867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43191" cy="1828673"/>
                    </a:xfrm>
                    <a:prstGeom prst="rect">
                      <a:avLst/>
                    </a:prstGeom>
                  </pic:spPr>
                </pic:pic>
              </a:graphicData>
            </a:graphic>
          </wp:anchor>
        </w:drawing>
      </w:r>
      <w:r>
        <w:rPr>
          <w:i/>
          <w:sz w:val="18"/>
        </w:rPr>
        <w:t>an [NHS Trust] providing services in the Safeguarding Board</w:t>
      </w:r>
      <w:r>
        <w:rPr>
          <w:i/>
          <w:spacing w:val="-22"/>
          <w:sz w:val="18"/>
        </w:rPr>
        <w:t> </w:t>
      </w:r>
      <w:r>
        <w:rPr>
          <w:i/>
          <w:sz w:val="18"/>
        </w:rPr>
        <w:t>area;</w:t>
      </w:r>
    </w:p>
    <w:p>
      <w:pPr>
        <w:pStyle w:val="BodyText"/>
        <w:spacing w:before="3"/>
        <w:rPr>
          <w:i/>
          <w:sz w:val="25"/>
        </w:rPr>
      </w:pPr>
    </w:p>
    <w:p>
      <w:pPr>
        <w:pStyle w:val="ListParagraph"/>
        <w:numPr>
          <w:ilvl w:val="1"/>
          <w:numId w:val="1"/>
        </w:numPr>
        <w:tabs>
          <w:tab w:pos="2932" w:val="left" w:leader="none"/>
        </w:tabs>
        <w:spacing w:line="312" w:lineRule="auto" w:before="0" w:after="0"/>
        <w:ind w:left="2598" w:right="712" w:firstLine="0"/>
        <w:jc w:val="both"/>
        <w:rPr>
          <w:i/>
          <w:sz w:val="18"/>
        </w:rPr>
      </w:pPr>
      <w:r>
        <w:rPr>
          <w:i/>
          <w:sz w:val="18"/>
        </w:rPr>
        <w:t>the Secretary of State to the extent </w:t>
      </w:r>
      <w:r>
        <w:rPr>
          <w:i/>
          <w:spacing w:val="4"/>
          <w:sz w:val="18"/>
        </w:rPr>
        <w:t>that </w:t>
      </w:r>
      <w:r>
        <w:rPr>
          <w:i/>
          <w:sz w:val="18"/>
        </w:rPr>
        <w:t>the Secretary of State is discharging functions under sections 2 and 3 of the Offender Management Act 2007 in relation to</w:t>
      </w:r>
      <w:r>
        <w:rPr>
          <w:i/>
          <w:spacing w:val="-5"/>
          <w:sz w:val="18"/>
        </w:rPr>
        <w:t> </w:t>
      </w:r>
      <w:r>
        <w:rPr>
          <w:i/>
          <w:sz w:val="18"/>
        </w:rPr>
        <w:t>Wales;</w:t>
      </w:r>
    </w:p>
    <w:p>
      <w:pPr>
        <w:pStyle w:val="BodyText"/>
        <w:spacing w:before="7"/>
        <w:rPr>
          <w:i/>
          <w:sz w:val="19"/>
        </w:rPr>
      </w:pPr>
    </w:p>
    <w:p>
      <w:pPr>
        <w:pStyle w:val="ListParagraph"/>
        <w:numPr>
          <w:ilvl w:val="1"/>
          <w:numId w:val="1"/>
        </w:numPr>
        <w:tabs>
          <w:tab w:pos="2930" w:val="left" w:leader="none"/>
        </w:tabs>
        <w:spacing w:line="312" w:lineRule="auto" w:before="1" w:after="0"/>
        <w:ind w:left="2598" w:right="715" w:firstLine="0"/>
        <w:jc w:val="both"/>
        <w:rPr>
          <w:i/>
          <w:sz w:val="18"/>
        </w:rPr>
      </w:pPr>
      <w:r>
        <w:rPr>
          <w:i/>
          <w:sz w:val="18"/>
        </w:rPr>
        <w:t>any provider of probation services that is required by arrangements under section</w:t>
      </w:r>
      <w:r>
        <w:rPr>
          <w:i/>
          <w:spacing w:val="-6"/>
          <w:sz w:val="18"/>
        </w:rPr>
        <w:t> </w:t>
      </w:r>
      <w:r>
        <w:rPr>
          <w:i/>
          <w:sz w:val="18"/>
        </w:rPr>
        <w:t>3(2)</w:t>
      </w:r>
      <w:r>
        <w:rPr>
          <w:i/>
          <w:spacing w:val="-5"/>
          <w:sz w:val="18"/>
        </w:rPr>
        <w:t> </w:t>
      </w:r>
      <w:r>
        <w:rPr>
          <w:i/>
          <w:sz w:val="18"/>
        </w:rPr>
        <w:t>of</w:t>
      </w:r>
      <w:r>
        <w:rPr>
          <w:i/>
          <w:spacing w:val="-5"/>
          <w:sz w:val="18"/>
        </w:rPr>
        <w:t> </w:t>
      </w:r>
      <w:r>
        <w:rPr>
          <w:i/>
          <w:sz w:val="18"/>
        </w:rPr>
        <w:t>the</w:t>
      </w:r>
      <w:r>
        <w:rPr>
          <w:i/>
          <w:spacing w:val="-7"/>
          <w:sz w:val="18"/>
        </w:rPr>
        <w:t> </w:t>
      </w:r>
      <w:r>
        <w:rPr>
          <w:i/>
          <w:sz w:val="18"/>
        </w:rPr>
        <w:t>Offender</w:t>
      </w:r>
      <w:r>
        <w:rPr>
          <w:i/>
          <w:spacing w:val="-4"/>
          <w:sz w:val="18"/>
        </w:rPr>
        <w:t> </w:t>
      </w:r>
      <w:r>
        <w:rPr>
          <w:i/>
          <w:sz w:val="18"/>
        </w:rPr>
        <w:t>Management</w:t>
      </w:r>
      <w:r>
        <w:rPr>
          <w:i/>
          <w:spacing w:val="-4"/>
          <w:sz w:val="18"/>
        </w:rPr>
        <w:t> </w:t>
      </w:r>
      <w:r>
        <w:rPr>
          <w:i/>
          <w:sz w:val="18"/>
        </w:rPr>
        <w:t>Act</w:t>
      </w:r>
      <w:r>
        <w:rPr>
          <w:i/>
          <w:spacing w:val="-4"/>
          <w:sz w:val="18"/>
        </w:rPr>
        <w:t> </w:t>
      </w:r>
      <w:r>
        <w:rPr>
          <w:i/>
          <w:sz w:val="18"/>
        </w:rPr>
        <w:t>2007</w:t>
      </w:r>
      <w:r>
        <w:rPr>
          <w:i/>
          <w:spacing w:val="-6"/>
          <w:sz w:val="18"/>
        </w:rPr>
        <w:t> </w:t>
      </w:r>
      <w:r>
        <w:rPr>
          <w:i/>
          <w:sz w:val="18"/>
        </w:rPr>
        <w:t>to</w:t>
      </w:r>
      <w:r>
        <w:rPr>
          <w:i/>
          <w:spacing w:val="-7"/>
          <w:sz w:val="18"/>
        </w:rPr>
        <w:t> </w:t>
      </w:r>
      <w:r>
        <w:rPr>
          <w:i/>
          <w:sz w:val="18"/>
        </w:rPr>
        <w:t>act</w:t>
      </w:r>
      <w:r>
        <w:rPr>
          <w:i/>
          <w:spacing w:val="-4"/>
          <w:sz w:val="18"/>
        </w:rPr>
        <w:t> </w:t>
      </w:r>
      <w:r>
        <w:rPr>
          <w:i/>
          <w:sz w:val="18"/>
        </w:rPr>
        <w:t>as</w:t>
      </w:r>
      <w:r>
        <w:rPr>
          <w:i/>
          <w:spacing w:val="-7"/>
          <w:sz w:val="18"/>
        </w:rPr>
        <w:t> </w:t>
      </w:r>
      <w:r>
        <w:rPr>
          <w:i/>
          <w:sz w:val="18"/>
        </w:rPr>
        <w:t>a</w:t>
      </w:r>
      <w:r>
        <w:rPr>
          <w:i/>
          <w:spacing w:val="-6"/>
          <w:sz w:val="18"/>
        </w:rPr>
        <w:t> </w:t>
      </w:r>
      <w:r>
        <w:rPr>
          <w:i/>
          <w:sz w:val="18"/>
        </w:rPr>
        <w:t>Safeguarding</w:t>
      </w:r>
      <w:r>
        <w:rPr>
          <w:i/>
          <w:spacing w:val="-6"/>
          <w:sz w:val="18"/>
        </w:rPr>
        <w:t> </w:t>
      </w:r>
      <w:r>
        <w:rPr>
          <w:i/>
          <w:sz w:val="18"/>
        </w:rPr>
        <w:t>Board partner in relation to the Safeguarding Board</w:t>
      </w:r>
      <w:r>
        <w:rPr>
          <w:i/>
          <w:spacing w:val="-13"/>
          <w:sz w:val="18"/>
        </w:rPr>
        <w:t> </w:t>
      </w:r>
      <w:r>
        <w:rPr>
          <w:i/>
          <w:sz w:val="18"/>
        </w:rPr>
        <w:t>area.”</w:t>
      </w:r>
    </w:p>
    <w:p>
      <w:pPr>
        <w:pStyle w:val="BodyText"/>
        <w:spacing w:before="10"/>
        <w:rPr>
          <w:i/>
          <w:sz w:val="19"/>
        </w:rPr>
      </w:pPr>
    </w:p>
    <w:p>
      <w:pPr>
        <w:pStyle w:val="BodyText"/>
        <w:spacing w:line="309" w:lineRule="auto"/>
        <w:ind w:left="1930" w:right="630"/>
        <w:jc w:val="both"/>
      </w:pPr>
      <w:r>
        <w:rPr/>
        <w:t>One of these partners is to be designated a “lead partner” in relation to children and in relations to adults, in the relevant area (section 134(3)).</w:t>
      </w:r>
    </w:p>
    <w:p>
      <w:pPr>
        <w:pStyle w:val="BodyText"/>
        <w:spacing w:before="2"/>
        <w:rPr>
          <w:sz w:val="20"/>
        </w:rPr>
      </w:pPr>
    </w:p>
    <w:p>
      <w:pPr>
        <w:pStyle w:val="BodyText"/>
        <w:spacing w:line="312" w:lineRule="auto"/>
        <w:ind w:left="1930" w:right="629"/>
        <w:jc w:val="both"/>
      </w:pPr>
      <w:r>
        <w:rPr/>
        <w:t>The function, practice and procedures of Safeguarding Boards (namely, RSBs) are detailed in sections 135 to 139 of the Act, </w:t>
      </w:r>
      <w:r>
        <w:rPr>
          <w:u w:val="single"/>
        </w:rPr>
        <w:t>The Safeguarding Boards (Functions and</w:t>
      </w:r>
      <w:r>
        <w:rPr/>
        <w:t> </w:t>
      </w:r>
      <w:r>
        <w:rPr>
          <w:u w:val="single"/>
        </w:rPr>
        <w:t>Procedures)</w:t>
      </w:r>
      <w:r>
        <w:rPr/>
        <w:t> </w:t>
      </w:r>
      <w:r>
        <w:rPr>
          <w:u w:val="single"/>
        </w:rPr>
        <w:t>(Wales) Regulations 2015</w:t>
      </w:r>
      <w:r>
        <w:rPr/>
        <w:t> and </w:t>
      </w:r>
      <w:r>
        <w:rPr>
          <w:u w:val="single"/>
        </w:rPr>
        <w:t>The Safeguarding Boards (General)</w:t>
      </w:r>
      <w:r>
        <w:rPr/>
        <w:t> </w:t>
      </w:r>
      <w:r>
        <w:rPr>
          <w:u w:val="single"/>
        </w:rPr>
        <w:t>(Wales) Regulations</w:t>
      </w:r>
      <w:r>
        <w:rPr/>
        <w:t> </w:t>
      </w:r>
      <w:r>
        <w:rPr>
          <w:u w:val="single"/>
        </w:rPr>
        <w:t>2015</w:t>
      </w:r>
      <w:r>
        <w:rPr/>
        <w:t>.</w:t>
      </w:r>
    </w:p>
    <w:p>
      <w:pPr>
        <w:pStyle w:val="BodyText"/>
        <w:spacing w:before="6"/>
        <w:rPr>
          <w:sz w:val="11"/>
        </w:rPr>
      </w:pPr>
    </w:p>
    <w:p>
      <w:pPr>
        <w:pStyle w:val="BodyText"/>
        <w:spacing w:line="328" w:lineRule="auto" w:before="100"/>
        <w:ind w:left="1930" w:right="631"/>
        <w:jc w:val="both"/>
      </w:pPr>
      <w:r>
        <w:rPr/>
        <w:t>Therefore, RSBs are created under, and have their functions prescribed by, the Act and its underlying Regulations.</w:t>
      </w:r>
      <w:r>
        <w:rPr>
          <w:rFonts w:ascii="Tahoma"/>
          <w:b/>
          <w:vertAlign w:val="superscript"/>
        </w:rPr>
        <w:t>1</w:t>
      </w:r>
      <w:r>
        <w:rPr>
          <w:rFonts w:ascii="Tahoma"/>
          <w:b/>
          <w:vertAlign w:val="baseline"/>
        </w:rPr>
        <w:t> </w:t>
      </w:r>
      <w:r>
        <w:rPr>
          <w:vertAlign w:val="baseline"/>
        </w:rPr>
        <w:t>Their legal status is that of statutory bodies.</w:t>
      </w:r>
    </w:p>
    <w:p>
      <w:pPr>
        <w:pStyle w:val="BodyText"/>
        <w:spacing w:before="7"/>
        <w:rPr>
          <w:sz w:val="19"/>
        </w:rPr>
      </w:pPr>
    </w:p>
    <w:p>
      <w:pPr>
        <w:pStyle w:val="Heading2"/>
        <w:numPr>
          <w:ilvl w:val="0"/>
          <w:numId w:val="1"/>
        </w:numPr>
        <w:tabs>
          <w:tab w:pos="1930" w:val="left" w:leader="none"/>
          <w:tab w:pos="1931" w:val="left" w:leader="none"/>
        </w:tabs>
        <w:spacing w:line="240" w:lineRule="auto" w:before="1" w:after="0"/>
        <w:ind w:left="1930" w:right="0" w:hanging="853"/>
        <w:jc w:val="left"/>
      </w:pPr>
      <w:r>
        <w:rPr>
          <w:spacing w:val="-3"/>
        </w:rPr>
        <w:t>Are </w:t>
      </w:r>
      <w:r>
        <w:rPr/>
        <w:t>Regional Safeguarding Boards legal</w:t>
      </w:r>
      <w:r>
        <w:rPr>
          <w:spacing w:val="5"/>
        </w:rPr>
        <w:t> </w:t>
      </w:r>
      <w:r>
        <w:rPr/>
        <w:t>entities?</w:t>
      </w:r>
    </w:p>
    <w:p>
      <w:pPr>
        <w:pStyle w:val="BodyText"/>
        <w:spacing w:before="8"/>
        <w:rPr>
          <w:b/>
          <w:sz w:val="19"/>
        </w:rPr>
      </w:pPr>
    </w:p>
    <w:p>
      <w:pPr>
        <w:pStyle w:val="BodyText"/>
        <w:spacing w:line="312" w:lineRule="auto"/>
        <w:ind w:left="1930" w:right="628"/>
        <w:jc w:val="both"/>
      </w:pPr>
      <w:r>
        <w:rPr/>
        <w:t>Beyond</w:t>
      </w:r>
      <w:r>
        <w:rPr>
          <w:spacing w:val="-9"/>
        </w:rPr>
        <w:t> </w:t>
      </w:r>
      <w:r>
        <w:rPr/>
        <w:t>being</w:t>
      </w:r>
      <w:r>
        <w:rPr>
          <w:spacing w:val="-5"/>
        </w:rPr>
        <w:t> </w:t>
      </w:r>
      <w:r>
        <w:rPr/>
        <w:t>a</w:t>
      </w:r>
      <w:r>
        <w:rPr>
          <w:spacing w:val="-9"/>
        </w:rPr>
        <w:t> </w:t>
      </w:r>
      <w:r>
        <w:rPr/>
        <w:t>statutory</w:t>
      </w:r>
      <w:r>
        <w:rPr>
          <w:spacing w:val="-11"/>
        </w:rPr>
        <w:t> </w:t>
      </w:r>
      <w:r>
        <w:rPr/>
        <w:t>body</w:t>
      </w:r>
      <w:r>
        <w:rPr>
          <w:spacing w:val="-11"/>
        </w:rPr>
        <w:t> </w:t>
      </w:r>
      <w:r>
        <w:rPr/>
        <w:t>(see</w:t>
      </w:r>
      <w:r>
        <w:rPr>
          <w:spacing w:val="-7"/>
        </w:rPr>
        <w:t> </w:t>
      </w:r>
      <w:r>
        <w:rPr/>
        <w:t>above)</w:t>
      </w:r>
      <w:r>
        <w:rPr>
          <w:spacing w:val="-7"/>
        </w:rPr>
        <w:t> </w:t>
      </w:r>
      <w:r>
        <w:rPr/>
        <w:t>an</w:t>
      </w:r>
      <w:r>
        <w:rPr>
          <w:spacing w:val="-12"/>
        </w:rPr>
        <w:t> </w:t>
      </w:r>
      <w:r>
        <w:rPr/>
        <w:t>RSB</w:t>
      </w:r>
      <w:r>
        <w:rPr>
          <w:spacing w:val="-9"/>
        </w:rPr>
        <w:t> </w:t>
      </w:r>
      <w:r>
        <w:rPr/>
        <w:t>does</w:t>
      </w:r>
      <w:r>
        <w:rPr>
          <w:spacing w:val="-8"/>
        </w:rPr>
        <w:t> </w:t>
      </w:r>
      <w:r>
        <w:rPr/>
        <w:t>not</w:t>
      </w:r>
      <w:r>
        <w:rPr>
          <w:spacing w:val="-6"/>
        </w:rPr>
        <w:t> </w:t>
      </w:r>
      <w:r>
        <w:rPr/>
        <w:t>have</w:t>
      </w:r>
      <w:r>
        <w:rPr>
          <w:spacing w:val="-7"/>
        </w:rPr>
        <w:t> </w:t>
      </w:r>
      <w:r>
        <w:rPr/>
        <w:t>its</w:t>
      </w:r>
      <w:r>
        <w:rPr>
          <w:spacing w:val="-11"/>
        </w:rPr>
        <w:t> </w:t>
      </w:r>
      <w:r>
        <w:rPr/>
        <w:t>own</w:t>
      </w:r>
      <w:r>
        <w:rPr>
          <w:spacing w:val="-8"/>
        </w:rPr>
        <w:t> </w:t>
      </w:r>
      <w:r>
        <w:rPr/>
        <w:t>legal</w:t>
      </w:r>
      <w:r>
        <w:rPr>
          <w:spacing w:val="-10"/>
        </w:rPr>
        <w:t> </w:t>
      </w:r>
      <w:r>
        <w:rPr/>
        <w:t>personality. Rather, it comprises its constituent “Safeguarding Board partner[s]” under section 134(2), each of whom has its own legal</w:t>
      </w:r>
      <w:r>
        <w:rPr>
          <w:spacing w:val="-7"/>
        </w:rPr>
        <w:t> </w:t>
      </w:r>
      <w:r>
        <w:rPr/>
        <w:t>personality.</w:t>
      </w:r>
    </w:p>
    <w:p>
      <w:pPr>
        <w:pStyle w:val="BodyText"/>
        <w:spacing w:before="11"/>
        <w:rPr>
          <w:sz w:val="19"/>
        </w:rPr>
      </w:pPr>
    </w:p>
    <w:p>
      <w:pPr>
        <w:pStyle w:val="BodyText"/>
        <w:spacing w:line="336" w:lineRule="auto"/>
        <w:ind w:left="1930" w:right="630"/>
        <w:jc w:val="both"/>
      </w:pPr>
      <w:r>
        <w:rPr/>
        <w:t>However,</w:t>
      </w:r>
      <w:r>
        <w:rPr>
          <w:spacing w:val="-15"/>
        </w:rPr>
        <w:t> </w:t>
      </w:r>
      <w:r>
        <w:rPr/>
        <w:t>in</w:t>
      </w:r>
      <w:r>
        <w:rPr>
          <w:spacing w:val="-15"/>
        </w:rPr>
        <w:t> </w:t>
      </w:r>
      <w:r>
        <w:rPr/>
        <w:t>accordance</w:t>
      </w:r>
      <w:r>
        <w:rPr>
          <w:spacing w:val="-12"/>
        </w:rPr>
        <w:t> </w:t>
      </w:r>
      <w:r>
        <w:rPr/>
        <w:t>with</w:t>
      </w:r>
      <w:r>
        <w:rPr>
          <w:spacing w:val="-15"/>
        </w:rPr>
        <w:t> </w:t>
      </w:r>
      <w:r>
        <w:rPr/>
        <w:t>its</w:t>
      </w:r>
      <w:r>
        <w:rPr>
          <w:spacing w:val="-5"/>
        </w:rPr>
        <w:t> </w:t>
      </w:r>
      <w:r>
        <w:rPr/>
        <w:t>statutory</w:t>
      </w:r>
      <w:r>
        <w:rPr>
          <w:spacing w:val="-5"/>
        </w:rPr>
        <w:t> </w:t>
      </w:r>
      <w:r>
        <w:rPr/>
        <w:t>functions,</w:t>
      </w:r>
      <w:r>
        <w:rPr>
          <w:spacing w:val="-4"/>
        </w:rPr>
        <w:t> </w:t>
      </w:r>
      <w:r>
        <w:rPr/>
        <w:t>and</w:t>
      </w:r>
      <w:r>
        <w:rPr>
          <w:spacing w:val="-12"/>
        </w:rPr>
        <w:t> </w:t>
      </w:r>
      <w:r>
        <w:rPr/>
        <w:t>by</w:t>
      </w:r>
      <w:r>
        <w:rPr>
          <w:spacing w:val="-15"/>
        </w:rPr>
        <w:t> </w:t>
      </w:r>
      <w:r>
        <w:rPr/>
        <w:t>analogy</w:t>
      </w:r>
      <w:r>
        <w:rPr>
          <w:spacing w:val="-15"/>
        </w:rPr>
        <w:t> </w:t>
      </w:r>
      <w:r>
        <w:rPr/>
        <w:t>with</w:t>
      </w:r>
      <w:r>
        <w:rPr>
          <w:spacing w:val="-5"/>
        </w:rPr>
        <w:t> </w:t>
      </w:r>
      <w:r>
        <w:rPr/>
        <w:t>local</w:t>
      </w:r>
      <w:r>
        <w:rPr>
          <w:spacing w:val="-12"/>
        </w:rPr>
        <w:t> </w:t>
      </w:r>
      <w:r>
        <w:rPr/>
        <w:t>safeguarding children’s boards</w:t>
      </w:r>
      <w:r>
        <w:rPr>
          <w:rFonts w:ascii="Tahoma" w:hAnsi="Tahoma"/>
          <w:b/>
          <w:vertAlign w:val="superscript"/>
        </w:rPr>
        <w:t>2</w:t>
      </w:r>
      <w:r>
        <w:rPr>
          <w:vertAlign w:val="baseline"/>
        </w:rPr>
        <w:t>, RSBs are susceptible to judicial review</w:t>
      </w:r>
      <w:r>
        <w:rPr>
          <w:rFonts w:ascii="Tahoma" w:hAnsi="Tahoma"/>
          <w:b/>
          <w:vertAlign w:val="superscript"/>
        </w:rPr>
        <w:t>3</w:t>
      </w:r>
      <w:r>
        <w:rPr>
          <w:rFonts w:ascii="Tahoma" w:hAnsi="Tahoma"/>
          <w:b/>
          <w:vertAlign w:val="baseline"/>
        </w:rPr>
        <w:t> </w:t>
      </w:r>
      <w:r>
        <w:rPr>
          <w:vertAlign w:val="baseline"/>
        </w:rPr>
        <w:t>and capable of bringing applications for public interest</w:t>
      </w:r>
      <w:r>
        <w:rPr>
          <w:spacing w:val="-6"/>
          <w:vertAlign w:val="baseline"/>
        </w:rPr>
        <w:t> </w:t>
      </w:r>
      <w:r>
        <w:rPr>
          <w:vertAlign w:val="baseline"/>
        </w:rPr>
        <w:t>immunity</w:t>
      </w:r>
      <w:r>
        <w:rPr>
          <w:rFonts w:ascii="Tahoma" w:hAnsi="Tahoma"/>
          <w:b/>
          <w:vertAlign w:val="superscript"/>
        </w:rPr>
        <w:t>4</w:t>
      </w:r>
      <w:r>
        <w:rPr>
          <w:vertAlign w:val="baseline"/>
        </w:rPr>
        <w:t>.</w:t>
      </w:r>
    </w:p>
    <w:p>
      <w:pPr>
        <w:pStyle w:val="BodyText"/>
        <w:spacing w:before="2"/>
        <w:rPr>
          <w:sz w:val="19"/>
        </w:rPr>
      </w:pPr>
    </w:p>
    <w:p>
      <w:pPr>
        <w:pStyle w:val="BodyText"/>
        <w:spacing w:line="309" w:lineRule="auto"/>
        <w:ind w:left="1930" w:right="629"/>
        <w:jc w:val="both"/>
      </w:pPr>
      <w:r>
        <w:rPr/>
        <w:t>It would also appear that for the purposes of the </w:t>
      </w:r>
      <w:r>
        <w:rPr>
          <w:u w:val="single"/>
        </w:rPr>
        <w:t>Freedom of Information Act 2000</w:t>
      </w:r>
      <w:r>
        <w:rPr/>
        <w:t> (“FOIA”), RSBs are to be treated as legal persons (see section 4 below).</w:t>
      </w:r>
    </w:p>
    <w:p>
      <w:pPr>
        <w:pStyle w:val="BodyText"/>
        <w:spacing w:before="1"/>
        <w:rPr>
          <w:sz w:val="20"/>
        </w:rPr>
      </w:pPr>
    </w:p>
    <w:p>
      <w:pPr>
        <w:pStyle w:val="Heading2"/>
        <w:numPr>
          <w:ilvl w:val="0"/>
          <w:numId w:val="1"/>
        </w:numPr>
        <w:tabs>
          <w:tab w:pos="1930" w:val="left" w:leader="none"/>
          <w:tab w:pos="1931" w:val="left" w:leader="none"/>
        </w:tabs>
        <w:spacing w:line="240" w:lineRule="auto" w:before="1" w:after="0"/>
        <w:ind w:left="1930" w:right="0" w:hanging="853"/>
        <w:jc w:val="left"/>
      </w:pPr>
      <w:r>
        <w:rPr/>
        <w:t>Does Freedom of information apply to Regional Safeguarding</w:t>
      </w:r>
      <w:r>
        <w:rPr>
          <w:spacing w:val="-5"/>
        </w:rPr>
        <w:t> </w:t>
      </w:r>
      <w:r>
        <w:rPr/>
        <w:t>Boards?</w:t>
      </w:r>
    </w:p>
    <w:p>
      <w:pPr>
        <w:pStyle w:val="BodyText"/>
        <w:spacing w:before="8"/>
        <w:rPr>
          <w:b/>
          <w:sz w:val="19"/>
        </w:rPr>
      </w:pPr>
    </w:p>
    <w:p>
      <w:pPr>
        <w:pStyle w:val="BodyText"/>
        <w:spacing w:line="312" w:lineRule="auto"/>
        <w:ind w:left="1930" w:right="630"/>
        <w:jc w:val="both"/>
      </w:pPr>
      <w:r>
        <w:rPr/>
        <w:t>RSBs are not listed in Schedule 1 of the </w:t>
      </w:r>
      <w:r>
        <w:rPr>
          <w:u w:val="single"/>
        </w:rPr>
        <w:t>Freedom of Information Act 2000</w:t>
      </w:r>
      <w:r>
        <w:rPr/>
        <w:t> (“FOIA”) as being public authorities for the purpose of the FOIA (under section 3(1)), nor have RSBs been added to Schedule 1 by any order made by the Secretary of State under sections 4 or 5 of the FOIA (unlike the NISB, which is identified as a public authority in accordance with the </w:t>
      </w:r>
      <w:r>
        <w:rPr>
          <w:u w:val="single"/>
        </w:rPr>
        <w:t>Freedom of Information (Additional Public Authorities) Order </w:t>
      </w:r>
      <w:r>
        <w:rPr/>
        <w:t>2018/173).</w:t>
      </w:r>
    </w:p>
    <w:p>
      <w:pPr>
        <w:pStyle w:val="BodyText"/>
        <w:rPr>
          <w:sz w:val="20"/>
        </w:rPr>
      </w:pPr>
    </w:p>
    <w:p>
      <w:pPr>
        <w:pStyle w:val="BodyText"/>
        <w:spacing w:before="4"/>
        <w:rPr>
          <w:sz w:val="15"/>
        </w:rPr>
      </w:pPr>
      <w:r>
        <w:rPr/>
        <w:pict>
          <v:rect style="position:absolute;margin-left:70.944pt;margin-top:11.300302pt;width:144.020pt;height:.48004pt;mso-position-horizontal-relative:page;mso-position-vertical-relative:paragraph;z-index:-15728128;mso-wrap-distance-left:0;mso-wrap-distance-right:0" filled="true" fillcolor="#000000" stroked="false">
            <v:fill type="solid"/>
            <w10:wrap type="topAndBottom"/>
          </v:rect>
        </w:pict>
      </w:r>
    </w:p>
    <w:p>
      <w:pPr>
        <w:pStyle w:val="ListParagraph"/>
        <w:numPr>
          <w:ilvl w:val="0"/>
          <w:numId w:val="2"/>
        </w:numPr>
        <w:tabs>
          <w:tab w:pos="1930" w:val="left" w:leader="none"/>
          <w:tab w:pos="1931" w:val="left" w:leader="none"/>
        </w:tabs>
        <w:spacing w:line="249" w:lineRule="auto" w:before="56" w:after="0"/>
        <w:ind w:left="1930" w:right="639" w:hanging="852"/>
        <w:jc w:val="both"/>
        <w:rPr>
          <w:rFonts w:ascii="Tahoma"/>
          <w:sz w:val="16"/>
        </w:rPr>
      </w:pPr>
      <w:r>
        <w:rPr>
          <w:rFonts w:ascii="Tahoma"/>
          <w:sz w:val="16"/>
        </w:rPr>
        <w:t>Similarly, the NISB is created under section 132 of the Act and its functions prescribed in The National Independent Safeguarding Board (Wales) (No. 2) Regulations</w:t>
      </w:r>
      <w:r>
        <w:rPr>
          <w:rFonts w:ascii="Tahoma"/>
          <w:spacing w:val="-5"/>
          <w:sz w:val="16"/>
        </w:rPr>
        <w:t> </w:t>
      </w:r>
      <w:r>
        <w:rPr>
          <w:rFonts w:ascii="Tahoma"/>
          <w:sz w:val="16"/>
        </w:rPr>
        <w:t>2015</w:t>
      </w:r>
    </w:p>
    <w:p>
      <w:pPr>
        <w:pStyle w:val="ListParagraph"/>
        <w:numPr>
          <w:ilvl w:val="0"/>
          <w:numId w:val="2"/>
        </w:numPr>
        <w:tabs>
          <w:tab w:pos="1930" w:val="left" w:leader="none"/>
          <w:tab w:pos="1931" w:val="left" w:leader="none"/>
        </w:tabs>
        <w:spacing w:line="240" w:lineRule="auto" w:before="53" w:after="0"/>
        <w:ind w:left="1930" w:right="0" w:hanging="853"/>
        <w:jc w:val="both"/>
        <w:rPr>
          <w:rFonts w:ascii="Tahoma"/>
          <w:sz w:val="16"/>
        </w:rPr>
      </w:pPr>
      <w:r>
        <w:rPr>
          <w:rFonts w:ascii="Tahoma"/>
          <w:sz w:val="16"/>
        </w:rPr>
        <w:t>Created under s.13 of the Children Act 2004 (repealed by the Children and Social Work Act</w:t>
      </w:r>
      <w:r>
        <w:rPr>
          <w:rFonts w:ascii="Tahoma"/>
          <w:spacing w:val="-13"/>
          <w:sz w:val="16"/>
        </w:rPr>
        <w:t> </w:t>
      </w:r>
      <w:r>
        <w:rPr>
          <w:rFonts w:ascii="Tahoma"/>
          <w:sz w:val="16"/>
        </w:rPr>
        <w:t>2017).</w:t>
      </w:r>
    </w:p>
    <w:p>
      <w:pPr>
        <w:pStyle w:val="ListParagraph"/>
        <w:numPr>
          <w:ilvl w:val="0"/>
          <w:numId w:val="2"/>
        </w:numPr>
        <w:tabs>
          <w:tab w:pos="1930" w:val="left" w:leader="none"/>
          <w:tab w:pos="1931" w:val="left" w:leader="none"/>
        </w:tabs>
        <w:spacing w:line="244" w:lineRule="auto" w:before="69" w:after="0"/>
        <w:ind w:left="1930" w:right="632" w:hanging="852"/>
        <w:jc w:val="both"/>
        <w:rPr>
          <w:rFonts w:ascii="Tahoma" w:hAnsi="Tahoma"/>
          <w:sz w:val="16"/>
        </w:rPr>
      </w:pPr>
      <w:r>
        <w:rPr>
          <w:rFonts w:ascii="Tahoma" w:hAnsi="Tahoma"/>
          <w:sz w:val="16"/>
        </w:rPr>
        <w:t>see R(Mohammed) v Local Safeguarding Children’s Board for Islington [2-14] EWHC 2966 (Admin) and R. (Maguire) v</w:t>
      </w:r>
      <w:r>
        <w:rPr>
          <w:rFonts w:ascii="Tahoma" w:hAnsi="Tahoma"/>
          <w:spacing w:val="-4"/>
          <w:sz w:val="16"/>
        </w:rPr>
        <w:t> </w:t>
      </w:r>
      <w:r>
        <w:rPr>
          <w:rFonts w:ascii="Tahoma" w:hAnsi="Tahoma"/>
          <w:sz w:val="16"/>
        </w:rPr>
        <w:t>Assistant</w:t>
      </w:r>
      <w:r>
        <w:rPr>
          <w:rFonts w:ascii="Tahoma" w:hAnsi="Tahoma"/>
          <w:spacing w:val="-3"/>
          <w:sz w:val="16"/>
        </w:rPr>
        <w:t> </w:t>
      </w:r>
      <w:r>
        <w:rPr>
          <w:rFonts w:ascii="Tahoma" w:hAnsi="Tahoma"/>
          <w:sz w:val="16"/>
        </w:rPr>
        <w:t>Coroner</w:t>
      </w:r>
      <w:r>
        <w:rPr>
          <w:rFonts w:ascii="Tahoma" w:hAnsi="Tahoma"/>
          <w:spacing w:val="-2"/>
          <w:sz w:val="16"/>
        </w:rPr>
        <w:t> </w:t>
      </w:r>
      <w:r>
        <w:rPr>
          <w:rFonts w:ascii="Tahoma" w:hAnsi="Tahoma"/>
          <w:sz w:val="16"/>
        </w:rPr>
        <w:t>for</w:t>
      </w:r>
      <w:r>
        <w:rPr>
          <w:rFonts w:ascii="Tahoma" w:hAnsi="Tahoma"/>
          <w:spacing w:val="-2"/>
          <w:sz w:val="16"/>
        </w:rPr>
        <w:t> </w:t>
      </w:r>
      <w:r>
        <w:rPr>
          <w:rFonts w:ascii="Tahoma" w:hAnsi="Tahoma"/>
          <w:sz w:val="16"/>
        </w:rPr>
        <w:t>West</w:t>
      </w:r>
      <w:r>
        <w:rPr>
          <w:rFonts w:ascii="Tahoma" w:hAnsi="Tahoma"/>
          <w:spacing w:val="-5"/>
          <w:sz w:val="16"/>
        </w:rPr>
        <w:t> </w:t>
      </w:r>
      <w:r>
        <w:rPr>
          <w:rFonts w:ascii="Tahoma" w:hAnsi="Tahoma"/>
          <w:sz w:val="16"/>
        </w:rPr>
        <w:t>Yorkshire</w:t>
      </w:r>
      <w:r>
        <w:rPr>
          <w:rFonts w:ascii="Tahoma" w:hAnsi="Tahoma"/>
          <w:spacing w:val="-3"/>
          <w:sz w:val="16"/>
        </w:rPr>
        <w:t> </w:t>
      </w:r>
      <w:r>
        <w:rPr>
          <w:rFonts w:ascii="Tahoma" w:hAnsi="Tahoma"/>
          <w:sz w:val="16"/>
        </w:rPr>
        <w:t>[2018]</w:t>
      </w:r>
      <w:r>
        <w:rPr>
          <w:rFonts w:ascii="Tahoma" w:hAnsi="Tahoma"/>
          <w:spacing w:val="-6"/>
          <w:sz w:val="16"/>
        </w:rPr>
        <w:t> </w:t>
      </w:r>
      <w:r>
        <w:rPr>
          <w:rFonts w:ascii="Tahoma" w:hAnsi="Tahoma"/>
          <w:sz w:val="16"/>
        </w:rPr>
        <w:t>EWCA</w:t>
      </w:r>
      <w:r>
        <w:rPr>
          <w:rFonts w:ascii="Tahoma" w:hAnsi="Tahoma"/>
          <w:spacing w:val="-2"/>
          <w:sz w:val="16"/>
        </w:rPr>
        <w:t> </w:t>
      </w:r>
      <w:r>
        <w:rPr>
          <w:rFonts w:ascii="Tahoma" w:hAnsi="Tahoma"/>
          <w:sz w:val="16"/>
        </w:rPr>
        <w:t>Civ</w:t>
      </w:r>
      <w:r>
        <w:rPr>
          <w:rFonts w:ascii="Tahoma" w:hAnsi="Tahoma"/>
          <w:spacing w:val="-5"/>
          <w:sz w:val="16"/>
        </w:rPr>
        <w:t> </w:t>
      </w:r>
      <w:r>
        <w:rPr>
          <w:rFonts w:ascii="Tahoma" w:hAnsi="Tahoma"/>
          <w:sz w:val="16"/>
        </w:rPr>
        <w:t>6</w:t>
      </w:r>
      <w:r>
        <w:rPr>
          <w:rFonts w:ascii="Tahoma" w:hAnsi="Tahoma"/>
          <w:spacing w:val="-2"/>
          <w:sz w:val="16"/>
        </w:rPr>
        <w:t> </w:t>
      </w:r>
      <w:r>
        <w:rPr>
          <w:rFonts w:ascii="Tahoma" w:hAnsi="Tahoma"/>
          <w:sz w:val="16"/>
        </w:rPr>
        <w:t>in</w:t>
      </w:r>
      <w:r>
        <w:rPr>
          <w:rFonts w:ascii="Tahoma" w:hAnsi="Tahoma"/>
          <w:spacing w:val="-5"/>
          <w:sz w:val="16"/>
        </w:rPr>
        <w:t> </w:t>
      </w:r>
      <w:r>
        <w:rPr>
          <w:rFonts w:ascii="Tahoma" w:hAnsi="Tahoma"/>
          <w:sz w:val="16"/>
        </w:rPr>
        <w:t>which</w:t>
      </w:r>
      <w:r>
        <w:rPr>
          <w:rFonts w:ascii="Tahoma" w:hAnsi="Tahoma"/>
          <w:spacing w:val="-3"/>
          <w:sz w:val="16"/>
        </w:rPr>
        <w:t> </w:t>
      </w:r>
      <w:r>
        <w:rPr>
          <w:rFonts w:ascii="Tahoma" w:hAnsi="Tahoma"/>
          <w:sz w:val="16"/>
        </w:rPr>
        <w:t>Leeds</w:t>
      </w:r>
      <w:r>
        <w:rPr>
          <w:rFonts w:ascii="Tahoma" w:hAnsi="Tahoma"/>
          <w:spacing w:val="-2"/>
          <w:sz w:val="16"/>
        </w:rPr>
        <w:t> </w:t>
      </w:r>
      <w:r>
        <w:rPr>
          <w:rFonts w:ascii="Tahoma" w:hAnsi="Tahoma"/>
          <w:sz w:val="16"/>
        </w:rPr>
        <w:t>Safeguarding</w:t>
      </w:r>
      <w:r>
        <w:rPr>
          <w:rFonts w:ascii="Tahoma" w:hAnsi="Tahoma"/>
          <w:spacing w:val="-2"/>
          <w:sz w:val="16"/>
        </w:rPr>
        <w:t> </w:t>
      </w:r>
      <w:r>
        <w:rPr>
          <w:rFonts w:ascii="Tahoma" w:hAnsi="Tahoma"/>
          <w:sz w:val="16"/>
        </w:rPr>
        <w:t>Children’s</w:t>
      </w:r>
      <w:r>
        <w:rPr>
          <w:rFonts w:ascii="Tahoma" w:hAnsi="Tahoma"/>
          <w:spacing w:val="-2"/>
          <w:sz w:val="16"/>
        </w:rPr>
        <w:t> </w:t>
      </w:r>
      <w:r>
        <w:rPr>
          <w:rFonts w:ascii="Tahoma" w:hAnsi="Tahoma"/>
          <w:sz w:val="16"/>
        </w:rPr>
        <w:t>Board</w:t>
      </w:r>
      <w:r>
        <w:rPr>
          <w:rFonts w:ascii="Tahoma" w:hAnsi="Tahoma"/>
          <w:spacing w:val="-2"/>
          <w:sz w:val="16"/>
        </w:rPr>
        <w:t> </w:t>
      </w:r>
      <w:r>
        <w:rPr>
          <w:rFonts w:ascii="Tahoma" w:hAnsi="Tahoma"/>
          <w:sz w:val="16"/>
        </w:rPr>
        <w:t>was</w:t>
      </w:r>
      <w:r>
        <w:rPr>
          <w:rFonts w:ascii="Tahoma" w:hAnsi="Tahoma"/>
          <w:spacing w:val="-3"/>
          <w:sz w:val="16"/>
        </w:rPr>
        <w:t> </w:t>
      </w:r>
      <w:r>
        <w:rPr>
          <w:rFonts w:ascii="Tahoma" w:hAnsi="Tahoma"/>
          <w:sz w:val="16"/>
        </w:rPr>
        <w:t>named as an Interested</w:t>
      </w:r>
      <w:r>
        <w:rPr>
          <w:rFonts w:ascii="Tahoma" w:hAnsi="Tahoma"/>
          <w:spacing w:val="-2"/>
          <w:sz w:val="16"/>
        </w:rPr>
        <w:t> </w:t>
      </w:r>
      <w:r>
        <w:rPr>
          <w:rFonts w:ascii="Tahoma" w:hAnsi="Tahoma"/>
          <w:sz w:val="16"/>
        </w:rPr>
        <w:t>Party.</w:t>
      </w:r>
    </w:p>
    <w:p>
      <w:pPr>
        <w:pStyle w:val="ListParagraph"/>
        <w:numPr>
          <w:ilvl w:val="0"/>
          <w:numId w:val="2"/>
        </w:numPr>
        <w:tabs>
          <w:tab w:pos="1930" w:val="left" w:leader="none"/>
          <w:tab w:pos="1931" w:val="left" w:leader="none"/>
        </w:tabs>
        <w:spacing w:line="240" w:lineRule="auto" w:before="56" w:after="0"/>
        <w:ind w:left="1930" w:right="0" w:hanging="853"/>
        <w:jc w:val="both"/>
        <w:rPr>
          <w:rFonts w:ascii="Tahoma"/>
          <w:sz w:val="16"/>
        </w:rPr>
      </w:pPr>
      <w:r>
        <w:rPr>
          <w:rFonts w:ascii="Tahoma"/>
          <w:sz w:val="16"/>
        </w:rPr>
        <w:t>Worcestershire CC v HM Coroner for Worcestershire [2013] EWHC 1711</w:t>
      </w:r>
      <w:r>
        <w:rPr>
          <w:rFonts w:ascii="Tahoma"/>
          <w:spacing w:val="-10"/>
          <w:sz w:val="16"/>
        </w:rPr>
        <w:t> </w:t>
      </w:r>
      <w:r>
        <w:rPr>
          <w:rFonts w:ascii="Tahoma"/>
          <w:sz w:val="16"/>
        </w:rPr>
        <w:t>(QB).</w:t>
      </w:r>
    </w:p>
    <w:p>
      <w:pPr>
        <w:spacing w:after="0" w:line="240" w:lineRule="auto"/>
        <w:jc w:val="both"/>
        <w:rPr>
          <w:rFonts w:ascii="Tahoma"/>
          <w:sz w:val="16"/>
        </w:rPr>
        <w:sectPr>
          <w:pgSz w:w="11910" w:h="16850"/>
          <w:pgMar w:header="0" w:footer="643" w:top="440" w:bottom="840" w:left="340" w:right="780"/>
        </w:sectPr>
      </w:pPr>
    </w:p>
    <w:p>
      <w:pPr>
        <w:pStyle w:val="BodyText"/>
        <w:spacing w:line="312" w:lineRule="auto" w:before="79"/>
        <w:ind w:left="1930" w:right="741"/>
      </w:pPr>
      <w:r>
        <w:rPr/>
        <w:t>On this basis, the “General right of access to information held by public authorities” (section 1, FOIA) does </w:t>
      </w:r>
      <w:r>
        <w:rPr>
          <w:u w:val="single"/>
        </w:rPr>
        <w:t>not</w:t>
      </w:r>
      <w:r>
        <w:rPr/>
        <w:t> apply to RSBs.</w:t>
      </w:r>
    </w:p>
    <w:p>
      <w:pPr>
        <w:pStyle w:val="BodyText"/>
        <w:spacing w:before="6"/>
        <w:rPr>
          <w:sz w:val="11"/>
        </w:rPr>
      </w:pPr>
    </w:p>
    <w:p>
      <w:pPr>
        <w:pStyle w:val="Heading2"/>
        <w:numPr>
          <w:ilvl w:val="0"/>
          <w:numId w:val="1"/>
        </w:numPr>
        <w:tabs>
          <w:tab w:pos="1930" w:val="left" w:leader="none"/>
          <w:tab w:pos="1931" w:val="left" w:leader="none"/>
        </w:tabs>
        <w:spacing w:line="240" w:lineRule="auto" w:before="100" w:after="0"/>
        <w:ind w:left="1930" w:right="0" w:hanging="853"/>
        <w:jc w:val="left"/>
      </w:pPr>
      <w:r>
        <w:rPr/>
        <w:t>What is the status of data held by Regional Safeguarding</w:t>
      </w:r>
      <w:r>
        <w:rPr>
          <w:spacing w:val="-15"/>
        </w:rPr>
        <w:t> </w:t>
      </w:r>
      <w:r>
        <w:rPr/>
        <w:t>Boards?</w:t>
      </w:r>
    </w:p>
    <w:p>
      <w:pPr>
        <w:pStyle w:val="BodyText"/>
        <w:spacing w:before="9"/>
        <w:rPr>
          <w:b/>
          <w:sz w:val="19"/>
        </w:rPr>
      </w:pPr>
    </w:p>
    <w:p>
      <w:pPr>
        <w:pStyle w:val="BodyText"/>
        <w:spacing w:line="309" w:lineRule="auto"/>
        <w:ind w:left="1930" w:right="634"/>
        <w:jc w:val="both"/>
      </w:pPr>
      <w:r>
        <w:rPr/>
        <w:t>Information in the possession of RSBs does not, in our view, come within the FOIA, as considered above.</w:t>
      </w:r>
    </w:p>
    <w:p>
      <w:pPr>
        <w:pStyle w:val="BodyText"/>
        <w:spacing w:before="1"/>
        <w:rPr>
          <w:sz w:val="20"/>
        </w:rPr>
      </w:pPr>
    </w:p>
    <w:p>
      <w:pPr>
        <w:pStyle w:val="BodyText"/>
        <w:spacing w:line="312" w:lineRule="auto" w:before="1"/>
        <w:ind w:left="1930" w:right="628"/>
        <w:jc w:val="both"/>
      </w:pPr>
      <w:r>
        <w:rPr/>
        <w:t>Nor are constituent Safeguarding Board partners, whilst themselves being public authorities within the meaning of Schedule 1, FOIA, liable to disclose information which they possess on behalf of RSBs. This is because such information does not come within section 3(2) of the FOIA, namely:</w:t>
      </w:r>
    </w:p>
    <w:p>
      <w:pPr>
        <w:pStyle w:val="BodyText"/>
        <w:spacing w:before="8"/>
        <w:rPr>
          <w:sz w:val="19"/>
        </w:rPr>
      </w:pPr>
    </w:p>
    <w:p>
      <w:pPr>
        <w:spacing w:before="1"/>
        <w:ind w:left="1839" w:right="0" w:firstLine="0"/>
        <w:jc w:val="both"/>
        <w:rPr>
          <w:i/>
          <w:sz w:val="18"/>
        </w:rPr>
      </w:pPr>
      <w:r>
        <w:rPr>
          <w:i/>
          <w:sz w:val="18"/>
        </w:rPr>
        <w:t>“For the purposes of this Act, information is held by a public authority if –</w:t>
      </w:r>
    </w:p>
    <w:p>
      <w:pPr>
        <w:pStyle w:val="BodyText"/>
        <w:spacing w:before="1"/>
        <w:rPr>
          <w:i/>
          <w:sz w:val="25"/>
        </w:rPr>
      </w:pPr>
    </w:p>
    <w:p>
      <w:pPr>
        <w:pStyle w:val="ListParagraph"/>
        <w:numPr>
          <w:ilvl w:val="1"/>
          <w:numId w:val="1"/>
        </w:numPr>
        <w:tabs>
          <w:tab w:pos="2896" w:val="left" w:leader="none"/>
        </w:tabs>
        <w:spacing w:line="240" w:lineRule="auto" w:before="0" w:after="0"/>
        <w:ind w:left="2895" w:right="0" w:hanging="337"/>
        <w:jc w:val="left"/>
        <w:rPr>
          <w:i/>
          <w:sz w:val="18"/>
        </w:rPr>
      </w:pPr>
      <w:r>
        <w:rPr>
          <w:i/>
          <w:sz w:val="18"/>
        </w:rPr>
        <w:t>it is held by the authority, otherwise than on behalf of another person,</w:t>
      </w:r>
      <w:r>
        <w:rPr>
          <w:i/>
          <w:spacing w:val="-29"/>
          <w:sz w:val="18"/>
        </w:rPr>
        <w:t> </w:t>
      </w:r>
      <w:r>
        <w:rPr>
          <w:i/>
          <w:sz w:val="18"/>
        </w:rPr>
        <w:t>or</w:t>
      </w:r>
    </w:p>
    <w:p>
      <w:pPr>
        <w:pStyle w:val="BodyText"/>
        <w:spacing w:before="3"/>
        <w:rPr>
          <w:i/>
          <w:sz w:val="25"/>
        </w:rPr>
      </w:pPr>
    </w:p>
    <w:p>
      <w:pPr>
        <w:pStyle w:val="ListParagraph"/>
        <w:numPr>
          <w:ilvl w:val="1"/>
          <w:numId w:val="1"/>
        </w:numPr>
        <w:tabs>
          <w:tab w:pos="2901" w:val="left" w:leader="none"/>
        </w:tabs>
        <w:spacing w:line="240" w:lineRule="auto" w:before="0" w:after="0"/>
        <w:ind w:left="2900" w:right="0" w:hanging="342"/>
        <w:jc w:val="left"/>
        <w:rPr>
          <w:i/>
          <w:sz w:val="18"/>
        </w:rPr>
      </w:pPr>
      <w:r>
        <w:rPr>
          <w:i/>
          <w:sz w:val="18"/>
        </w:rPr>
        <w:t>it is held by another person on behalf of the</w:t>
      </w:r>
      <w:r>
        <w:rPr>
          <w:i/>
          <w:spacing w:val="-17"/>
          <w:sz w:val="18"/>
        </w:rPr>
        <w:t> </w:t>
      </w:r>
      <w:r>
        <w:rPr>
          <w:i/>
          <w:sz w:val="18"/>
        </w:rPr>
        <w:t>authority.”</w:t>
      </w:r>
    </w:p>
    <w:p>
      <w:pPr>
        <w:pStyle w:val="BodyText"/>
        <w:rPr>
          <w:i/>
          <w:sz w:val="25"/>
        </w:rPr>
      </w:pPr>
    </w:p>
    <w:p>
      <w:pPr>
        <w:pStyle w:val="BodyText"/>
        <w:spacing w:line="314" w:lineRule="auto"/>
        <w:ind w:left="1930" w:right="630"/>
        <w:jc w:val="both"/>
      </w:pPr>
      <w:r>
        <w:rPr/>
        <w:t>This analysis is supported by decisions of the Information Commissioner in respect of English Safeguarding Children’s Boards:</w:t>
      </w:r>
    </w:p>
    <w:p>
      <w:pPr>
        <w:pStyle w:val="BodyText"/>
        <w:spacing w:before="5"/>
        <w:rPr>
          <w:sz w:val="19"/>
        </w:rPr>
      </w:pPr>
    </w:p>
    <w:p>
      <w:pPr>
        <w:pStyle w:val="ListParagraph"/>
        <w:numPr>
          <w:ilvl w:val="1"/>
          <w:numId w:val="3"/>
        </w:numPr>
        <w:tabs>
          <w:tab w:pos="2921" w:val="left" w:leader="none"/>
          <w:tab w:pos="2922" w:val="left" w:leader="none"/>
        </w:tabs>
        <w:spacing w:line="312" w:lineRule="auto" w:before="0" w:after="0"/>
        <w:ind w:left="2922" w:right="629" w:hanging="992"/>
        <w:jc w:val="both"/>
        <w:rPr>
          <w:sz w:val="18"/>
        </w:rPr>
      </w:pPr>
      <w:r>
        <w:rPr>
          <w:sz w:val="18"/>
        </w:rPr>
        <w:t>In 2010 Doncaster Metropolitan Borough Council resisted a FOIA request for disclosure of the Edlington Serious Case Review produced by the Doncaster Safeguarding Children Board, as upheld by the Information Commissioner (</w:t>
      </w:r>
      <w:hyperlink r:id="rId8">
        <w:r>
          <w:rPr>
            <w:sz w:val="18"/>
            <w:u w:val="single"/>
          </w:rPr>
          <w:t>reference: FS50368110</w:t>
        </w:r>
        <w:r>
          <w:rPr>
            <w:sz w:val="18"/>
          </w:rPr>
          <w:t>).</w:t>
        </w:r>
      </w:hyperlink>
    </w:p>
    <w:p>
      <w:pPr>
        <w:pStyle w:val="BodyText"/>
        <w:spacing w:before="6"/>
        <w:rPr>
          <w:sz w:val="11"/>
        </w:rPr>
      </w:pPr>
    </w:p>
    <w:p>
      <w:pPr>
        <w:pStyle w:val="ListParagraph"/>
        <w:numPr>
          <w:ilvl w:val="1"/>
          <w:numId w:val="3"/>
        </w:numPr>
        <w:tabs>
          <w:tab w:pos="2921" w:val="left" w:leader="none"/>
          <w:tab w:pos="2922" w:val="left" w:leader="none"/>
        </w:tabs>
        <w:spacing w:line="312" w:lineRule="auto" w:before="101" w:after="0"/>
        <w:ind w:left="2922" w:right="710" w:hanging="992"/>
        <w:jc w:val="left"/>
        <w:rPr>
          <w:sz w:val="18"/>
        </w:rPr>
      </w:pPr>
      <w:r>
        <w:rPr>
          <w:sz w:val="18"/>
        </w:rPr>
        <w:t>In 2015 the Information Commissioner upheld a refusal by Stoke-on-Trent City Council to disclose minutes of its representatives </w:t>
      </w:r>
      <w:r>
        <w:rPr>
          <w:spacing w:val="-2"/>
          <w:sz w:val="18"/>
        </w:rPr>
        <w:t>who </w:t>
      </w:r>
      <w:r>
        <w:rPr>
          <w:sz w:val="18"/>
        </w:rPr>
        <w:t>had attended meetings of the Stoke-on-Trent Safeguarding Board (</w:t>
      </w:r>
      <w:hyperlink r:id="rId9">
        <w:r>
          <w:rPr>
            <w:sz w:val="18"/>
            <w:u w:val="single"/>
          </w:rPr>
          <w:t>reference:</w:t>
        </w:r>
      </w:hyperlink>
      <w:hyperlink r:id="rId9">
        <w:r>
          <w:rPr>
            <w:spacing w:val="-40"/>
            <w:sz w:val="18"/>
          </w:rPr>
          <w:t> </w:t>
        </w:r>
        <w:r>
          <w:rPr>
            <w:sz w:val="18"/>
            <w:u w:val="single"/>
          </w:rPr>
          <w:t>FS50566663</w:t>
        </w:r>
        <w:r>
          <w:rPr>
            <w:sz w:val="18"/>
          </w:rPr>
          <w:t>)</w:t>
        </w:r>
      </w:hyperlink>
      <w:r>
        <w:rPr>
          <w:sz w:val="18"/>
        </w:rPr>
        <w:t>. This decision was upheld by the First-Tier Tribunal (General Regulatory</w:t>
      </w:r>
      <w:r>
        <w:rPr>
          <w:position w:val="1"/>
          <w:sz w:val="18"/>
        </w:rPr>
        <w:t> Chamber Information Rights) in a decision dated 14 April 2016 </w:t>
      </w:r>
      <w:r>
        <w:rPr>
          <w:sz w:val="18"/>
        </w:rPr>
        <w:t>(</w:t>
      </w:r>
      <w:hyperlink r:id="rId10">
        <w:r>
          <w:rPr>
            <w:sz w:val="18"/>
            <w:u w:val="single"/>
          </w:rPr>
          <w:t>Michael J</w:t>
        </w:r>
      </w:hyperlink>
      <w:hyperlink r:id="rId10">
        <w:r>
          <w:rPr>
            <w:sz w:val="18"/>
            <w:u w:val="single"/>
          </w:rPr>
          <w:t> Barnes v Information Commissioner</w:t>
        </w:r>
        <w:r>
          <w:rPr>
            <w:spacing w:val="-5"/>
            <w:sz w:val="18"/>
            <w:u w:val="single"/>
          </w:rPr>
          <w:t> </w:t>
        </w:r>
        <w:r>
          <w:rPr>
            <w:sz w:val="18"/>
            <w:u w:val="single"/>
          </w:rPr>
          <w:t>EA/2015/0222</w:t>
        </w:r>
        <w:r>
          <w:rPr>
            <w:sz w:val="18"/>
          </w:rPr>
          <w:t>).</w:t>
        </w:r>
      </w:hyperlink>
    </w:p>
    <w:p>
      <w:pPr>
        <w:pStyle w:val="BodyText"/>
        <w:spacing w:before="8"/>
        <w:rPr>
          <w:sz w:val="11"/>
        </w:rPr>
      </w:pPr>
    </w:p>
    <w:p>
      <w:pPr>
        <w:pStyle w:val="BodyText"/>
        <w:spacing w:line="321" w:lineRule="auto" w:before="100"/>
        <w:ind w:left="1930" w:right="630"/>
        <w:jc w:val="both"/>
      </w:pPr>
      <w:r>
        <w:rPr/>
        <w:t>The above decisions concerned English safeguarding boards, with differing applicable regulations</w:t>
      </w:r>
      <w:r>
        <w:rPr>
          <w:rFonts w:ascii="Tahoma"/>
          <w:b/>
          <w:vertAlign w:val="superscript"/>
        </w:rPr>
        <w:t>5</w:t>
      </w:r>
      <w:r>
        <w:rPr>
          <w:rFonts w:ascii="Tahoma"/>
          <w:b/>
          <w:vertAlign w:val="baseline"/>
        </w:rPr>
        <w:t> </w:t>
      </w:r>
      <w:r>
        <w:rPr>
          <w:vertAlign w:val="baseline"/>
        </w:rPr>
        <w:t>at the time, particularly in terms of the extent of information required to be disclosed</w:t>
      </w:r>
      <w:r>
        <w:rPr>
          <w:spacing w:val="-21"/>
          <w:vertAlign w:val="baseline"/>
        </w:rPr>
        <w:t> </w:t>
      </w:r>
      <w:r>
        <w:rPr>
          <w:vertAlign w:val="baseline"/>
        </w:rPr>
        <w:t>following</w:t>
      </w:r>
      <w:r>
        <w:rPr>
          <w:spacing w:val="-20"/>
          <w:vertAlign w:val="baseline"/>
        </w:rPr>
        <w:t> </w:t>
      </w:r>
      <w:r>
        <w:rPr>
          <w:vertAlign w:val="baseline"/>
        </w:rPr>
        <w:t>a</w:t>
      </w:r>
      <w:r>
        <w:rPr>
          <w:spacing w:val="-18"/>
          <w:vertAlign w:val="baseline"/>
        </w:rPr>
        <w:t> </w:t>
      </w:r>
      <w:r>
        <w:rPr>
          <w:vertAlign w:val="baseline"/>
        </w:rPr>
        <w:t>Serious</w:t>
      </w:r>
      <w:r>
        <w:rPr>
          <w:spacing w:val="-20"/>
          <w:vertAlign w:val="baseline"/>
        </w:rPr>
        <w:t> </w:t>
      </w:r>
      <w:r>
        <w:rPr>
          <w:vertAlign w:val="baseline"/>
        </w:rPr>
        <w:t>Case</w:t>
      </w:r>
      <w:r>
        <w:rPr>
          <w:spacing w:val="-19"/>
          <w:vertAlign w:val="baseline"/>
        </w:rPr>
        <w:t> </w:t>
      </w:r>
      <w:r>
        <w:rPr>
          <w:vertAlign w:val="baseline"/>
        </w:rPr>
        <w:t>Review</w:t>
      </w:r>
      <w:r>
        <w:rPr>
          <w:spacing w:val="-15"/>
          <w:vertAlign w:val="baseline"/>
        </w:rPr>
        <w:t> </w:t>
      </w:r>
      <w:r>
        <w:rPr>
          <w:vertAlign w:val="baseline"/>
        </w:rPr>
        <w:t>(SCR).</w:t>
      </w:r>
      <w:r>
        <w:rPr>
          <w:spacing w:val="28"/>
          <w:vertAlign w:val="baseline"/>
        </w:rPr>
        <w:t> </w:t>
      </w:r>
      <w:r>
        <w:rPr>
          <w:vertAlign w:val="baseline"/>
        </w:rPr>
        <w:t>The</w:t>
      </w:r>
      <w:r>
        <w:rPr>
          <w:spacing w:val="-16"/>
          <w:vertAlign w:val="baseline"/>
        </w:rPr>
        <w:t> </w:t>
      </w:r>
      <w:r>
        <w:rPr>
          <w:vertAlign w:val="baseline"/>
        </w:rPr>
        <w:t>2006</w:t>
      </w:r>
      <w:r>
        <w:rPr>
          <w:spacing w:val="-20"/>
          <w:vertAlign w:val="baseline"/>
        </w:rPr>
        <w:t> </w:t>
      </w:r>
      <w:r>
        <w:rPr>
          <w:vertAlign w:val="baseline"/>
        </w:rPr>
        <w:t>Regulations</w:t>
      </w:r>
      <w:r>
        <w:rPr>
          <w:spacing w:val="-20"/>
          <w:vertAlign w:val="baseline"/>
        </w:rPr>
        <w:t> </w:t>
      </w:r>
      <w:r>
        <w:rPr>
          <w:vertAlign w:val="baseline"/>
        </w:rPr>
        <w:t>in</w:t>
      </w:r>
      <w:r>
        <w:rPr>
          <w:spacing w:val="-20"/>
          <w:vertAlign w:val="baseline"/>
        </w:rPr>
        <w:t> </w:t>
      </w:r>
      <w:r>
        <w:rPr>
          <w:vertAlign w:val="baseline"/>
        </w:rPr>
        <w:t>England</w:t>
      </w:r>
      <w:r>
        <w:rPr>
          <w:spacing w:val="-20"/>
          <w:vertAlign w:val="baseline"/>
        </w:rPr>
        <w:t> </w:t>
      </w:r>
      <w:r>
        <w:rPr>
          <w:vertAlign w:val="baseline"/>
        </w:rPr>
        <w:t>provided under section</w:t>
      </w:r>
      <w:r>
        <w:rPr>
          <w:spacing w:val="-4"/>
          <w:vertAlign w:val="baseline"/>
        </w:rPr>
        <w:t> </w:t>
      </w:r>
      <w:r>
        <w:rPr>
          <w:vertAlign w:val="baseline"/>
        </w:rPr>
        <w:t>5:-</w:t>
      </w:r>
    </w:p>
    <w:p>
      <w:pPr>
        <w:pStyle w:val="BodyText"/>
        <w:spacing w:before="3"/>
        <w:rPr>
          <w:sz w:val="19"/>
        </w:rPr>
      </w:pPr>
    </w:p>
    <w:p>
      <w:pPr>
        <w:pStyle w:val="ListParagraph"/>
        <w:numPr>
          <w:ilvl w:val="0"/>
          <w:numId w:val="4"/>
        </w:numPr>
        <w:tabs>
          <w:tab w:pos="2276" w:val="left" w:leader="none"/>
        </w:tabs>
        <w:spacing w:line="312" w:lineRule="auto" w:before="0" w:after="0"/>
        <w:ind w:left="1930" w:right="641" w:firstLine="0"/>
        <w:jc w:val="left"/>
        <w:rPr>
          <w:sz w:val="18"/>
        </w:rPr>
      </w:pPr>
      <w:r>
        <w:rPr>
          <w:sz w:val="18"/>
        </w:rPr>
        <w:t>The functions of an LCSB in relation to its objective (as defined in section 14(1) of the Act are as</w:t>
      </w:r>
      <w:r>
        <w:rPr>
          <w:spacing w:val="-3"/>
          <w:sz w:val="18"/>
        </w:rPr>
        <w:t> </w:t>
      </w:r>
      <w:r>
        <w:rPr>
          <w:sz w:val="18"/>
        </w:rPr>
        <w:t>follows-</w:t>
      </w:r>
    </w:p>
    <w:p>
      <w:pPr>
        <w:pStyle w:val="BodyText"/>
        <w:spacing w:before="10"/>
        <w:rPr>
          <w:sz w:val="19"/>
        </w:rPr>
      </w:pPr>
    </w:p>
    <w:p>
      <w:pPr>
        <w:pStyle w:val="BodyText"/>
        <w:ind w:left="1930"/>
      </w:pPr>
      <w:r>
        <w:rPr/>
        <w:t>……</w:t>
      </w:r>
    </w:p>
    <w:p>
      <w:pPr>
        <w:pStyle w:val="BodyText"/>
        <w:rPr>
          <w:sz w:val="25"/>
        </w:rPr>
      </w:pPr>
    </w:p>
    <w:p>
      <w:pPr>
        <w:spacing w:line="314" w:lineRule="auto" w:before="1"/>
        <w:ind w:left="2780" w:right="741" w:firstLine="0"/>
        <w:jc w:val="left"/>
        <w:rPr>
          <w:i/>
          <w:sz w:val="18"/>
        </w:rPr>
      </w:pPr>
      <w:r>
        <w:rPr>
          <w:sz w:val="18"/>
        </w:rPr>
        <w:t>(e) ‘</w:t>
      </w:r>
      <w:r>
        <w:rPr>
          <w:i/>
          <w:sz w:val="18"/>
        </w:rPr>
        <w:t>undertaking reviews of serious cases and advising the authority and their Board partners on lessons to be learned.’</w:t>
      </w:r>
    </w:p>
    <w:p>
      <w:pPr>
        <w:pStyle w:val="BodyText"/>
        <w:rPr>
          <w:i/>
          <w:sz w:val="20"/>
        </w:rPr>
      </w:pPr>
    </w:p>
    <w:p>
      <w:pPr>
        <w:pStyle w:val="BodyText"/>
        <w:rPr>
          <w:i/>
          <w:sz w:val="20"/>
        </w:rPr>
      </w:pPr>
    </w:p>
    <w:p>
      <w:pPr>
        <w:pStyle w:val="BodyText"/>
        <w:rPr>
          <w:i/>
          <w:sz w:val="20"/>
        </w:rPr>
      </w:pPr>
    </w:p>
    <w:p>
      <w:pPr>
        <w:pStyle w:val="BodyText"/>
        <w:spacing w:before="3"/>
        <w:rPr>
          <w:i/>
          <w:sz w:val="13"/>
        </w:rPr>
      </w:pPr>
      <w:r>
        <w:rPr/>
        <w:pict>
          <v:rect style="position:absolute;margin-left:70.944pt;margin-top:10.043275pt;width:144.020pt;height:.48004pt;mso-position-horizontal-relative:page;mso-position-vertical-relative:paragraph;z-index:-15727104;mso-wrap-distance-left:0;mso-wrap-distance-right:0" filled="true" fillcolor="#000000" stroked="false">
            <v:fill type="solid"/>
            <w10:wrap type="topAndBottom"/>
          </v:rect>
        </w:pict>
      </w:r>
    </w:p>
    <w:p>
      <w:pPr>
        <w:pStyle w:val="ListParagraph"/>
        <w:numPr>
          <w:ilvl w:val="0"/>
          <w:numId w:val="2"/>
        </w:numPr>
        <w:tabs>
          <w:tab w:pos="1930" w:val="left" w:leader="none"/>
          <w:tab w:pos="1931" w:val="left" w:leader="none"/>
        </w:tabs>
        <w:spacing w:line="247" w:lineRule="auto" w:before="56" w:after="0"/>
        <w:ind w:left="1930" w:right="637" w:hanging="852"/>
        <w:jc w:val="left"/>
        <w:rPr>
          <w:rFonts w:ascii="Tahoma"/>
          <w:sz w:val="16"/>
        </w:rPr>
      </w:pPr>
      <w:r>
        <w:rPr>
          <w:rFonts w:ascii="Tahoma"/>
          <w:sz w:val="16"/>
        </w:rPr>
        <w:t>The Local Safeguarding Children Boards Regulations 2006 applied in England, compared to the Local Safeguarding Children Boards (Wales) Regulations 2006 in</w:t>
      </w:r>
      <w:r>
        <w:rPr>
          <w:rFonts w:ascii="Tahoma"/>
          <w:spacing w:val="-1"/>
          <w:sz w:val="16"/>
        </w:rPr>
        <w:t> </w:t>
      </w:r>
      <w:r>
        <w:rPr>
          <w:rFonts w:ascii="Tahoma"/>
          <w:sz w:val="16"/>
        </w:rPr>
        <w:t>Wales.</w:t>
      </w:r>
    </w:p>
    <w:p>
      <w:pPr>
        <w:spacing w:after="0" w:line="247" w:lineRule="auto"/>
        <w:jc w:val="left"/>
        <w:rPr>
          <w:rFonts w:ascii="Tahoma"/>
          <w:sz w:val="16"/>
        </w:rPr>
        <w:sectPr>
          <w:pgSz w:w="11910" w:h="16850"/>
          <w:pgMar w:header="0" w:footer="643" w:top="1340" w:bottom="840" w:left="340" w:right="780"/>
        </w:sectPr>
      </w:pPr>
    </w:p>
    <w:p>
      <w:pPr>
        <w:pStyle w:val="BodyText"/>
        <w:spacing w:line="326" w:lineRule="auto" w:before="96"/>
        <w:ind w:left="1930" w:right="635"/>
        <w:jc w:val="both"/>
      </w:pPr>
      <w:r>
        <w:rPr/>
        <w:t>In England, the Statutory guidance</w:t>
      </w:r>
      <w:r>
        <w:rPr>
          <w:rFonts w:ascii="Tahoma"/>
          <w:b/>
          <w:vertAlign w:val="superscript"/>
        </w:rPr>
        <w:t>6</w:t>
      </w:r>
      <w:r>
        <w:rPr>
          <w:rFonts w:ascii="Tahoma"/>
          <w:b/>
          <w:vertAlign w:val="baseline"/>
        </w:rPr>
        <w:t> </w:t>
      </w:r>
      <w:r>
        <w:rPr>
          <w:vertAlign w:val="baseline"/>
        </w:rPr>
        <w:t>relating to SCRs initially provided that only executive summaries of SCRs should be published once the SCR had been completed; this guidance was subsequently changed on 10 June 2010</w:t>
      </w:r>
      <w:r>
        <w:rPr>
          <w:rFonts w:ascii="Tahoma"/>
          <w:b/>
          <w:vertAlign w:val="superscript"/>
        </w:rPr>
        <w:t>7</w:t>
      </w:r>
      <w:r>
        <w:rPr>
          <w:rFonts w:ascii="Tahoma"/>
          <w:b/>
          <w:vertAlign w:val="baseline"/>
        </w:rPr>
        <w:t> </w:t>
      </w:r>
      <w:r>
        <w:rPr>
          <w:vertAlign w:val="baseline"/>
        </w:rPr>
        <w:t>when overview reports were also ordered to be provided.</w:t>
      </w:r>
    </w:p>
    <w:p>
      <w:pPr>
        <w:pStyle w:val="BodyText"/>
        <w:spacing w:before="9"/>
      </w:pPr>
    </w:p>
    <w:p>
      <w:pPr>
        <w:pStyle w:val="BodyText"/>
        <w:spacing w:before="1"/>
        <w:ind w:left="1930"/>
        <w:jc w:val="both"/>
      </w:pPr>
      <w:r>
        <w:rPr/>
        <w:t>By way of contrast, the Welsh Regulations provided:-</w:t>
      </w:r>
    </w:p>
    <w:p>
      <w:pPr>
        <w:pStyle w:val="BodyText"/>
        <w:spacing w:before="2"/>
        <w:rPr>
          <w:sz w:val="25"/>
        </w:rPr>
      </w:pPr>
    </w:p>
    <w:p>
      <w:pPr>
        <w:pStyle w:val="ListParagraph"/>
        <w:numPr>
          <w:ilvl w:val="0"/>
          <w:numId w:val="5"/>
        </w:numPr>
        <w:tabs>
          <w:tab w:pos="2125" w:val="left" w:leader="none"/>
        </w:tabs>
        <w:spacing w:line="312" w:lineRule="auto" w:before="1" w:after="0"/>
        <w:ind w:left="1930" w:right="636" w:firstLine="0"/>
        <w:jc w:val="both"/>
        <w:rPr>
          <w:rFonts w:ascii="Verdana-BoldItalic" w:hAnsi="Verdana-BoldItalic"/>
          <w:i/>
          <w:sz w:val="16"/>
        </w:rPr>
      </w:pPr>
      <w:r>
        <w:rPr>
          <w:i/>
          <w:sz w:val="18"/>
        </w:rPr>
        <w:t>—(1) A Board must undertake a review (a “serious case review”) in accordance with</w:t>
      </w:r>
      <w:r>
        <w:rPr>
          <w:i/>
          <w:spacing w:val="-45"/>
          <w:sz w:val="18"/>
        </w:rPr>
        <w:t> </w:t>
      </w:r>
      <w:r>
        <w:rPr>
          <w:i/>
          <w:sz w:val="18"/>
        </w:rPr>
        <w:t>this regulation in any of the following cases where, within the area of the Board, abuse or neglect of a child is known or suspected,</w:t>
      </w:r>
      <w:r>
        <w:rPr>
          <w:i/>
          <w:spacing w:val="-12"/>
          <w:sz w:val="18"/>
        </w:rPr>
        <w:t> </w:t>
      </w:r>
      <w:r>
        <w:rPr>
          <w:i/>
          <w:sz w:val="18"/>
        </w:rPr>
        <w:t>and—</w:t>
      </w:r>
    </w:p>
    <w:p>
      <w:pPr>
        <w:pStyle w:val="BodyText"/>
        <w:spacing w:before="7"/>
        <w:rPr>
          <w:i/>
          <w:sz w:val="19"/>
        </w:rPr>
      </w:pPr>
    </w:p>
    <w:p>
      <w:pPr>
        <w:pStyle w:val="ListParagraph"/>
        <w:numPr>
          <w:ilvl w:val="1"/>
          <w:numId w:val="5"/>
        </w:numPr>
        <w:tabs>
          <w:tab w:pos="3114" w:val="left" w:leader="none"/>
        </w:tabs>
        <w:spacing w:line="240" w:lineRule="auto" w:before="0" w:after="0"/>
        <w:ind w:left="3114" w:right="0" w:hanging="334"/>
        <w:jc w:val="left"/>
        <w:rPr>
          <w:i/>
          <w:sz w:val="18"/>
        </w:rPr>
      </w:pPr>
      <w:r>
        <w:rPr>
          <w:i/>
          <w:sz w:val="18"/>
        </w:rPr>
        <w:t>a child has died,</w:t>
      </w:r>
      <w:r>
        <w:rPr>
          <w:i/>
          <w:spacing w:val="-4"/>
          <w:sz w:val="18"/>
        </w:rPr>
        <w:t> </w:t>
      </w:r>
      <w:r>
        <w:rPr>
          <w:i/>
          <w:sz w:val="18"/>
        </w:rPr>
        <w:t>or</w:t>
      </w:r>
    </w:p>
    <w:p>
      <w:pPr>
        <w:pStyle w:val="BodyText"/>
        <w:spacing w:before="3"/>
        <w:rPr>
          <w:i/>
          <w:sz w:val="25"/>
        </w:rPr>
      </w:pPr>
    </w:p>
    <w:p>
      <w:pPr>
        <w:pStyle w:val="ListParagraph"/>
        <w:numPr>
          <w:ilvl w:val="1"/>
          <w:numId w:val="5"/>
        </w:numPr>
        <w:tabs>
          <w:tab w:pos="3119" w:val="left" w:leader="none"/>
        </w:tabs>
        <w:spacing w:line="240" w:lineRule="auto" w:before="0" w:after="0"/>
        <w:ind w:left="3118" w:right="0" w:hanging="339"/>
        <w:jc w:val="left"/>
        <w:rPr>
          <w:i/>
          <w:sz w:val="18"/>
        </w:rPr>
      </w:pPr>
      <w:r>
        <w:rPr>
          <w:i/>
          <w:sz w:val="18"/>
        </w:rPr>
        <w:t>has sustained a potentially life-threatening injury,</w:t>
      </w:r>
      <w:r>
        <w:rPr>
          <w:i/>
          <w:spacing w:val="-10"/>
          <w:sz w:val="18"/>
        </w:rPr>
        <w:t> </w:t>
      </w:r>
      <w:r>
        <w:rPr>
          <w:i/>
          <w:sz w:val="18"/>
        </w:rPr>
        <w:t>or</w:t>
      </w:r>
    </w:p>
    <w:p>
      <w:pPr>
        <w:pStyle w:val="BodyText"/>
        <w:spacing w:before="1"/>
        <w:rPr>
          <w:i/>
          <w:sz w:val="25"/>
        </w:rPr>
      </w:pPr>
    </w:p>
    <w:p>
      <w:pPr>
        <w:pStyle w:val="ListParagraph"/>
        <w:numPr>
          <w:ilvl w:val="1"/>
          <w:numId w:val="5"/>
        </w:numPr>
        <w:tabs>
          <w:tab w:pos="3039" w:val="left" w:leader="none"/>
        </w:tabs>
        <w:spacing w:line="240" w:lineRule="auto" w:before="1" w:after="0"/>
        <w:ind w:left="3038" w:right="0" w:hanging="259"/>
        <w:jc w:val="left"/>
        <w:rPr>
          <w:i/>
          <w:sz w:val="18"/>
        </w:rPr>
      </w:pPr>
      <w:r>
        <w:rPr>
          <w:i/>
          <w:sz w:val="18"/>
        </w:rPr>
        <w:t>has sustained serious and permanent impairment of health or</w:t>
      </w:r>
      <w:r>
        <w:rPr>
          <w:i/>
          <w:spacing w:val="-19"/>
          <w:sz w:val="18"/>
        </w:rPr>
        <w:t> </w:t>
      </w:r>
      <w:r>
        <w:rPr>
          <w:i/>
          <w:sz w:val="18"/>
        </w:rPr>
        <w:t>development.</w:t>
      </w:r>
    </w:p>
    <w:p>
      <w:pPr>
        <w:pStyle w:val="BodyText"/>
        <w:spacing w:before="2"/>
        <w:rPr>
          <w:i/>
          <w:sz w:val="25"/>
        </w:rPr>
      </w:pPr>
    </w:p>
    <w:p>
      <w:pPr>
        <w:pStyle w:val="ListParagraph"/>
        <w:numPr>
          <w:ilvl w:val="0"/>
          <w:numId w:val="4"/>
        </w:numPr>
        <w:tabs>
          <w:tab w:pos="2272" w:val="left" w:leader="none"/>
        </w:tabs>
        <w:spacing w:line="309" w:lineRule="auto" w:before="1" w:after="0"/>
        <w:ind w:left="1930" w:right="636" w:firstLine="0"/>
        <w:jc w:val="left"/>
        <w:rPr>
          <w:i/>
          <w:sz w:val="18"/>
        </w:rPr>
      </w:pPr>
      <w:r>
        <w:rPr>
          <w:i/>
          <w:sz w:val="18"/>
        </w:rPr>
        <w:t>A Board may undertake a serious case review in accordance with this regulation</w:t>
      </w:r>
      <w:r>
        <w:rPr>
          <w:i/>
          <w:spacing w:val="-39"/>
          <w:sz w:val="18"/>
        </w:rPr>
        <w:t> </w:t>
      </w:r>
      <w:r>
        <w:rPr>
          <w:i/>
          <w:sz w:val="18"/>
        </w:rPr>
        <w:t>where a child within its area suffers harm which does not fall within paragraphs 1(a)(b) or</w:t>
      </w:r>
      <w:r>
        <w:rPr>
          <w:i/>
          <w:spacing w:val="-34"/>
          <w:sz w:val="18"/>
        </w:rPr>
        <w:t> </w:t>
      </w:r>
      <w:r>
        <w:rPr>
          <w:i/>
          <w:sz w:val="18"/>
        </w:rPr>
        <w:t>(c).</w:t>
      </w:r>
    </w:p>
    <w:p>
      <w:pPr>
        <w:pStyle w:val="BodyText"/>
        <w:spacing w:before="1"/>
        <w:rPr>
          <w:i/>
          <w:sz w:val="20"/>
        </w:rPr>
      </w:pPr>
    </w:p>
    <w:p>
      <w:pPr>
        <w:pStyle w:val="ListParagraph"/>
        <w:numPr>
          <w:ilvl w:val="0"/>
          <w:numId w:val="4"/>
        </w:numPr>
        <w:tabs>
          <w:tab w:pos="2272" w:val="left" w:leader="none"/>
        </w:tabs>
        <w:spacing w:line="309" w:lineRule="auto" w:before="0" w:after="0"/>
        <w:ind w:left="1930" w:right="640" w:firstLine="0"/>
        <w:jc w:val="left"/>
        <w:rPr>
          <w:i/>
          <w:sz w:val="18"/>
        </w:rPr>
      </w:pPr>
      <w:r>
        <w:rPr>
          <w:i/>
          <w:sz w:val="18"/>
        </w:rPr>
        <w:t>The</w:t>
      </w:r>
      <w:r>
        <w:rPr>
          <w:i/>
          <w:spacing w:val="-8"/>
          <w:sz w:val="18"/>
        </w:rPr>
        <w:t> </w:t>
      </w:r>
      <w:r>
        <w:rPr>
          <w:i/>
          <w:sz w:val="18"/>
        </w:rPr>
        <w:t>purpose</w:t>
      </w:r>
      <w:r>
        <w:rPr>
          <w:i/>
          <w:spacing w:val="-7"/>
          <w:sz w:val="18"/>
        </w:rPr>
        <w:t> </w:t>
      </w:r>
      <w:r>
        <w:rPr>
          <w:i/>
          <w:sz w:val="18"/>
        </w:rPr>
        <w:t>of</w:t>
      </w:r>
      <w:r>
        <w:rPr>
          <w:i/>
          <w:spacing w:val="-9"/>
          <w:sz w:val="18"/>
        </w:rPr>
        <w:t> </w:t>
      </w:r>
      <w:r>
        <w:rPr>
          <w:i/>
          <w:sz w:val="18"/>
        </w:rPr>
        <w:t>a</w:t>
      </w:r>
      <w:r>
        <w:rPr>
          <w:i/>
          <w:spacing w:val="-5"/>
          <w:sz w:val="18"/>
        </w:rPr>
        <w:t> </w:t>
      </w:r>
      <w:r>
        <w:rPr>
          <w:i/>
          <w:sz w:val="18"/>
        </w:rPr>
        <w:t>serious</w:t>
      </w:r>
      <w:r>
        <w:rPr>
          <w:i/>
          <w:spacing w:val="-8"/>
          <w:sz w:val="18"/>
        </w:rPr>
        <w:t> </w:t>
      </w:r>
      <w:r>
        <w:rPr>
          <w:i/>
          <w:sz w:val="18"/>
        </w:rPr>
        <w:t>case</w:t>
      </w:r>
      <w:r>
        <w:rPr>
          <w:i/>
          <w:spacing w:val="-7"/>
          <w:sz w:val="18"/>
        </w:rPr>
        <w:t> </w:t>
      </w:r>
      <w:r>
        <w:rPr>
          <w:i/>
          <w:sz w:val="18"/>
        </w:rPr>
        <w:t>review</w:t>
      </w:r>
      <w:r>
        <w:rPr>
          <w:i/>
          <w:spacing w:val="-7"/>
          <w:sz w:val="18"/>
        </w:rPr>
        <w:t> </w:t>
      </w:r>
      <w:r>
        <w:rPr>
          <w:i/>
          <w:sz w:val="18"/>
        </w:rPr>
        <w:t>is</w:t>
      </w:r>
      <w:r>
        <w:rPr>
          <w:i/>
          <w:spacing w:val="-7"/>
          <w:sz w:val="18"/>
        </w:rPr>
        <w:t> </w:t>
      </w:r>
      <w:r>
        <w:rPr>
          <w:i/>
          <w:sz w:val="18"/>
        </w:rPr>
        <w:t>to</w:t>
      </w:r>
      <w:r>
        <w:rPr>
          <w:i/>
          <w:spacing w:val="-6"/>
          <w:sz w:val="18"/>
        </w:rPr>
        <w:t> </w:t>
      </w:r>
      <w:r>
        <w:rPr>
          <w:i/>
          <w:sz w:val="18"/>
        </w:rPr>
        <w:t>identify</w:t>
      </w:r>
      <w:r>
        <w:rPr>
          <w:i/>
          <w:spacing w:val="-9"/>
          <w:sz w:val="18"/>
        </w:rPr>
        <w:t> </w:t>
      </w:r>
      <w:r>
        <w:rPr>
          <w:i/>
          <w:sz w:val="18"/>
        </w:rPr>
        <w:t>steps</w:t>
      </w:r>
      <w:r>
        <w:rPr>
          <w:i/>
          <w:spacing w:val="-7"/>
          <w:sz w:val="18"/>
        </w:rPr>
        <w:t> </w:t>
      </w:r>
      <w:r>
        <w:rPr>
          <w:i/>
          <w:sz w:val="18"/>
        </w:rPr>
        <w:t>that</w:t>
      </w:r>
      <w:r>
        <w:rPr>
          <w:i/>
          <w:spacing w:val="-7"/>
          <w:sz w:val="18"/>
        </w:rPr>
        <w:t> </w:t>
      </w:r>
      <w:r>
        <w:rPr>
          <w:i/>
          <w:sz w:val="18"/>
        </w:rPr>
        <w:t>might</w:t>
      </w:r>
      <w:r>
        <w:rPr>
          <w:i/>
          <w:spacing w:val="-6"/>
          <w:sz w:val="18"/>
        </w:rPr>
        <w:t> </w:t>
      </w:r>
      <w:r>
        <w:rPr>
          <w:i/>
          <w:sz w:val="18"/>
        </w:rPr>
        <w:t>be</w:t>
      </w:r>
      <w:r>
        <w:rPr>
          <w:i/>
          <w:spacing w:val="-8"/>
          <w:sz w:val="18"/>
        </w:rPr>
        <w:t> </w:t>
      </w:r>
      <w:r>
        <w:rPr>
          <w:i/>
          <w:sz w:val="18"/>
        </w:rPr>
        <w:t>taken</w:t>
      </w:r>
      <w:r>
        <w:rPr>
          <w:i/>
          <w:spacing w:val="-8"/>
          <w:sz w:val="18"/>
        </w:rPr>
        <w:t> </w:t>
      </w:r>
      <w:r>
        <w:rPr>
          <w:i/>
          <w:sz w:val="18"/>
        </w:rPr>
        <w:t>to</w:t>
      </w:r>
      <w:r>
        <w:rPr>
          <w:i/>
          <w:spacing w:val="-6"/>
          <w:sz w:val="18"/>
        </w:rPr>
        <w:t> </w:t>
      </w:r>
      <w:r>
        <w:rPr>
          <w:i/>
          <w:sz w:val="18"/>
        </w:rPr>
        <w:t>prevent a similar death or harm</w:t>
      </w:r>
      <w:r>
        <w:rPr>
          <w:i/>
          <w:spacing w:val="-8"/>
          <w:sz w:val="18"/>
        </w:rPr>
        <w:t> </w:t>
      </w:r>
      <w:r>
        <w:rPr>
          <w:i/>
          <w:sz w:val="18"/>
        </w:rPr>
        <w:t>occurring.</w:t>
      </w:r>
    </w:p>
    <w:p>
      <w:pPr>
        <w:pStyle w:val="BodyText"/>
        <w:spacing w:before="1"/>
        <w:rPr>
          <w:i/>
          <w:sz w:val="20"/>
        </w:rPr>
      </w:pPr>
    </w:p>
    <w:p>
      <w:pPr>
        <w:pStyle w:val="ListParagraph"/>
        <w:numPr>
          <w:ilvl w:val="0"/>
          <w:numId w:val="4"/>
        </w:numPr>
        <w:tabs>
          <w:tab w:pos="2272" w:val="left" w:leader="none"/>
        </w:tabs>
        <w:spacing w:line="240" w:lineRule="auto" w:before="0" w:after="0"/>
        <w:ind w:left="2271" w:right="0" w:hanging="342"/>
        <w:jc w:val="left"/>
        <w:rPr>
          <w:i/>
          <w:sz w:val="18"/>
        </w:rPr>
      </w:pPr>
      <w:r>
        <w:rPr>
          <w:i/>
          <w:sz w:val="18"/>
        </w:rPr>
        <w:t>In carrying out a serious case review, a Board</w:t>
      </w:r>
      <w:r>
        <w:rPr>
          <w:i/>
          <w:spacing w:val="-10"/>
          <w:sz w:val="18"/>
        </w:rPr>
        <w:t> </w:t>
      </w:r>
      <w:r>
        <w:rPr>
          <w:i/>
          <w:sz w:val="18"/>
        </w:rPr>
        <w:t>must—</w:t>
      </w:r>
    </w:p>
    <w:p>
      <w:pPr>
        <w:pStyle w:val="BodyText"/>
        <w:spacing w:before="1"/>
        <w:rPr>
          <w:i/>
          <w:sz w:val="25"/>
        </w:rPr>
      </w:pPr>
    </w:p>
    <w:p>
      <w:pPr>
        <w:pStyle w:val="ListParagraph"/>
        <w:numPr>
          <w:ilvl w:val="1"/>
          <w:numId w:val="4"/>
        </w:numPr>
        <w:tabs>
          <w:tab w:pos="3114" w:val="left" w:leader="none"/>
        </w:tabs>
        <w:spacing w:line="312" w:lineRule="auto" w:before="0" w:after="0"/>
        <w:ind w:left="2780" w:right="635" w:firstLine="0"/>
        <w:jc w:val="both"/>
        <w:rPr>
          <w:i/>
          <w:sz w:val="18"/>
        </w:rPr>
      </w:pPr>
      <w:r>
        <w:rPr>
          <w:i/>
          <w:sz w:val="18"/>
        </w:rPr>
        <w:t>ask each representative body to provide the Board with a written report of</w:t>
      </w:r>
      <w:r>
        <w:rPr>
          <w:i/>
          <w:spacing w:val="-39"/>
          <w:sz w:val="18"/>
        </w:rPr>
        <w:t> </w:t>
      </w:r>
      <w:r>
        <w:rPr>
          <w:i/>
          <w:sz w:val="18"/>
        </w:rPr>
        <w:t>its involvement</w:t>
      </w:r>
      <w:r>
        <w:rPr>
          <w:i/>
          <w:spacing w:val="-7"/>
          <w:sz w:val="18"/>
        </w:rPr>
        <w:t> </w:t>
      </w:r>
      <w:r>
        <w:rPr>
          <w:i/>
          <w:sz w:val="18"/>
        </w:rPr>
        <w:t>with</w:t>
      </w:r>
      <w:r>
        <w:rPr>
          <w:i/>
          <w:spacing w:val="-9"/>
          <w:sz w:val="18"/>
        </w:rPr>
        <w:t> </w:t>
      </w:r>
      <w:r>
        <w:rPr>
          <w:i/>
          <w:sz w:val="18"/>
        </w:rPr>
        <w:t>the</w:t>
      </w:r>
      <w:r>
        <w:rPr>
          <w:i/>
          <w:spacing w:val="-8"/>
          <w:sz w:val="18"/>
        </w:rPr>
        <w:t> </w:t>
      </w:r>
      <w:r>
        <w:rPr>
          <w:i/>
          <w:sz w:val="18"/>
        </w:rPr>
        <w:t>child</w:t>
      </w:r>
      <w:r>
        <w:rPr>
          <w:i/>
          <w:spacing w:val="-8"/>
          <w:sz w:val="18"/>
        </w:rPr>
        <w:t> </w:t>
      </w:r>
      <w:r>
        <w:rPr>
          <w:i/>
          <w:sz w:val="18"/>
        </w:rPr>
        <w:t>who</w:t>
      </w:r>
      <w:r>
        <w:rPr>
          <w:i/>
          <w:spacing w:val="-6"/>
          <w:sz w:val="18"/>
        </w:rPr>
        <w:t> </w:t>
      </w:r>
      <w:r>
        <w:rPr>
          <w:i/>
          <w:sz w:val="18"/>
        </w:rPr>
        <w:t>is</w:t>
      </w:r>
      <w:r>
        <w:rPr>
          <w:i/>
          <w:spacing w:val="-8"/>
          <w:sz w:val="18"/>
        </w:rPr>
        <w:t> </w:t>
      </w:r>
      <w:r>
        <w:rPr>
          <w:i/>
          <w:sz w:val="18"/>
        </w:rPr>
        <w:t>the</w:t>
      </w:r>
      <w:r>
        <w:rPr>
          <w:i/>
          <w:spacing w:val="-8"/>
          <w:sz w:val="18"/>
        </w:rPr>
        <w:t> </w:t>
      </w:r>
      <w:r>
        <w:rPr>
          <w:i/>
          <w:sz w:val="18"/>
        </w:rPr>
        <w:t>subject</w:t>
      </w:r>
      <w:r>
        <w:rPr>
          <w:i/>
          <w:spacing w:val="-7"/>
          <w:sz w:val="18"/>
        </w:rPr>
        <w:t> </w:t>
      </w:r>
      <w:r>
        <w:rPr>
          <w:i/>
          <w:sz w:val="18"/>
        </w:rPr>
        <w:t>of</w:t>
      </w:r>
      <w:r>
        <w:rPr>
          <w:i/>
          <w:spacing w:val="-8"/>
          <w:sz w:val="18"/>
        </w:rPr>
        <w:t> </w:t>
      </w:r>
      <w:r>
        <w:rPr>
          <w:i/>
          <w:sz w:val="18"/>
        </w:rPr>
        <w:t>the</w:t>
      </w:r>
      <w:r>
        <w:rPr>
          <w:i/>
          <w:spacing w:val="-8"/>
          <w:sz w:val="18"/>
        </w:rPr>
        <w:t> </w:t>
      </w:r>
      <w:r>
        <w:rPr>
          <w:i/>
          <w:sz w:val="18"/>
        </w:rPr>
        <w:t>review,</w:t>
      </w:r>
      <w:r>
        <w:rPr>
          <w:i/>
          <w:spacing w:val="-9"/>
          <w:sz w:val="18"/>
        </w:rPr>
        <w:t> </w:t>
      </w:r>
      <w:r>
        <w:rPr>
          <w:i/>
          <w:sz w:val="18"/>
        </w:rPr>
        <w:t>unless</w:t>
      </w:r>
      <w:r>
        <w:rPr>
          <w:i/>
          <w:spacing w:val="-9"/>
          <w:sz w:val="18"/>
        </w:rPr>
        <w:t> </w:t>
      </w:r>
      <w:r>
        <w:rPr>
          <w:i/>
          <w:sz w:val="18"/>
        </w:rPr>
        <w:t>the</w:t>
      </w:r>
      <w:r>
        <w:rPr>
          <w:i/>
          <w:spacing w:val="-7"/>
          <w:sz w:val="18"/>
        </w:rPr>
        <w:t> </w:t>
      </w:r>
      <w:r>
        <w:rPr>
          <w:i/>
          <w:sz w:val="18"/>
        </w:rPr>
        <w:t>Board</w:t>
      </w:r>
      <w:r>
        <w:rPr>
          <w:i/>
          <w:spacing w:val="-8"/>
          <w:sz w:val="18"/>
        </w:rPr>
        <w:t> </w:t>
      </w:r>
      <w:r>
        <w:rPr>
          <w:i/>
          <w:sz w:val="18"/>
        </w:rPr>
        <w:t>is</w:t>
      </w:r>
      <w:r>
        <w:rPr>
          <w:i/>
          <w:spacing w:val="-6"/>
          <w:sz w:val="18"/>
        </w:rPr>
        <w:t> </w:t>
      </w:r>
      <w:r>
        <w:rPr>
          <w:i/>
          <w:sz w:val="18"/>
        </w:rPr>
        <w:t>of the opinion that such a report is unnecessary in the</w:t>
      </w:r>
      <w:r>
        <w:rPr>
          <w:i/>
          <w:spacing w:val="-17"/>
          <w:sz w:val="18"/>
        </w:rPr>
        <w:t> </w:t>
      </w:r>
      <w:r>
        <w:rPr>
          <w:i/>
          <w:sz w:val="18"/>
        </w:rPr>
        <w:t>circumstances;</w:t>
      </w:r>
    </w:p>
    <w:p>
      <w:pPr>
        <w:pStyle w:val="BodyText"/>
        <w:spacing w:before="10"/>
        <w:rPr>
          <w:i/>
          <w:sz w:val="19"/>
        </w:rPr>
      </w:pPr>
    </w:p>
    <w:p>
      <w:pPr>
        <w:pStyle w:val="ListParagraph"/>
        <w:numPr>
          <w:ilvl w:val="1"/>
          <w:numId w:val="4"/>
        </w:numPr>
        <w:tabs>
          <w:tab w:pos="3136" w:val="left" w:leader="none"/>
        </w:tabs>
        <w:spacing w:line="309" w:lineRule="auto" w:before="1" w:after="0"/>
        <w:ind w:left="2780" w:right="631" w:firstLine="0"/>
        <w:jc w:val="both"/>
        <w:rPr>
          <w:i/>
          <w:sz w:val="18"/>
        </w:rPr>
      </w:pPr>
      <w:r>
        <w:rPr>
          <w:i/>
          <w:sz w:val="18"/>
        </w:rPr>
        <w:t>following receipt of each report referred to in sub-paragraph (a), produce a written report (referred to in these Regulations as an “overview report”)</w:t>
      </w:r>
      <w:r>
        <w:rPr>
          <w:i/>
          <w:spacing w:val="-24"/>
          <w:sz w:val="18"/>
        </w:rPr>
        <w:t> </w:t>
      </w:r>
      <w:r>
        <w:rPr>
          <w:i/>
          <w:sz w:val="18"/>
        </w:rPr>
        <w:t>that—</w:t>
      </w:r>
    </w:p>
    <w:p>
      <w:pPr>
        <w:pStyle w:val="BodyText"/>
        <w:spacing w:before="1"/>
        <w:rPr>
          <w:i/>
          <w:sz w:val="20"/>
        </w:rPr>
      </w:pPr>
    </w:p>
    <w:p>
      <w:pPr>
        <w:pStyle w:val="ListParagraph"/>
        <w:numPr>
          <w:ilvl w:val="2"/>
          <w:numId w:val="4"/>
        </w:numPr>
        <w:tabs>
          <w:tab w:pos="3924" w:val="left" w:leader="none"/>
        </w:tabs>
        <w:spacing w:line="309" w:lineRule="auto" w:before="0" w:after="0"/>
        <w:ind w:left="3630" w:right="639" w:firstLine="0"/>
        <w:jc w:val="left"/>
        <w:rPr>
          <w:i/>
          <w:sz w:val="18"/>
        </w:rPr>
      </w:pPr>
      <w:r>
        <w:rPr>
          <w:i/>
          <w:sz w:val="18"/>
        </w:rPr>
        <w:t>identifies steps to be taken to reduce the risk of a similar death or harm occurring;</w:t>
      </w:r>
      <w:r>
        <w:rPr>
          <w:i/>
          <w:spacing w:val="-4"/>
          <w:sz w:val="18"/>
        </w:rPr>
        <w:t> </w:t>
      </w:r>
      <w:r>
        <w:rPr>
          <w:i/>
          <w:sz w:val="18"/>
        </w:rPr>
        <w:t>and</w:t>
      </w:r>
    </w:p>
    <w:p>
      <w:pPr>
        <w:pStyle w:val="BodyText"/>
        <w:spacing w:before="1"/>
        <w:rPr>
          <w:i/>
          <w:sz w:val="20"/>
        </w:rPr>
      </w:pPr>
    </w:p>
    <w:p>
      <w:pPr>
        <w:pStyle w:val="ListParagraph"/>
        <w:numPr>
          <w:ilvl w:val="2"/>
          <w:numId w:val="4"/>
        </w:numPr>
        <w:tabs>
          <w:tab w:pos="3950" w:val="left" w:leader="none"/>
        </w:tabs>
        <w:spacing w:line="309" w:lineRule="auto" w:before="0" w:after="0"/>
        <w:ind w:left="3630" w:right="636" w:firstLine="0"/>
        <w:jc w:val="left"/>
        <w:rPr>
          <w:i/>
          <w:sz w:val="18"/>
        </w:rPr>
      </w:pPr>
      <w:r>
        <w:rPr>
          <w:i/>
          <w:sz w:val="18"/>
        </w:rPr>
        <w:t>recommends</w:t>
      </w:r>
      <w:r>
        <w:rPr>
          <w:i/>
          <w:spacing w:val="-12"/>
          <w:sz w:val="18"/>
        </w:rPr>
        <w:t> </w:t>
      </w:r>
      <w:r>
        <w:rPr>
          <w:i/>
          <w:sz w:val="18"/>
        </w:rPr>
        <w:t>the</w:t>
      </w:r>
      <w:r>
        <w:rPr>
          <w:i/>
          <w:spacing w:val="-10"/>
          <w:sz w:val="18"/>
        </w:rPr>
        <w:t> </w:t>
      </w:r>
      <w:r>
        <w:rPr>
          <w:i/>
          <w:sz w:val="18"/>
        </w:rPr>
        <w:t>time</w:t>
      </w:r>
      <w:r>
        <w:rPr>
          <w:i/>
          <w:spacing w:val="-13"/>
          <w:sz w:val="18"/>
        </w:rPr>
        <w:t> </w:t>
      </w:r>
      <w:r>
        <w:rPr>
          <w:i/>
          <w:sz w:val="18"/>
        </w:rPr>
        <w:t>by</w:t>
      </w:r>
      <w:r>
        <w:rPr>
          <w:i/>
          <w:spacing w:val="-11"/>
          <w:sz w:val="18"/>
        </w:rPr>
        <w:t> </w:t>
      </w:r>
      <w:r>
        <w:rPr>
          <w:i/>
          <w:sz w:val="18"/>
        </w:rPr>
        <w:t>which,</w:t>
      </w:r>
      <w:r>
        <w:rPr>
          <w:i/>
          <w:spacing w:val="-12"/>
          <w:sz w:val="18"/>
        </w:rPr>
        <w:t> </w:t>
      </w:r>
      <w:r>
        <w:rPr>
          <w:i/>
          <w:sz w:val="18"/>
        </w:rPr>
        <w:t>and</w:t>
      </w:r>
      <w:r>
        <w:rPr>
          <w:i/>
          <w:spacing w:val="-6"/>
          <w:sz w:val="18"/>
        </w:rPr>
        <w:t> </w:t>
      </w:r>
      <w:r>
        <w:rPr>
          <w:i/>
          <w:sz w:val="18"/>
        </w:rPr>
        <w:t>identifies</w:t>
      </w:r>
      <w:r>
        <w:rPr>
          <w:i/>
          <w:spacing w:val="-11"/>
          <w:sz w:val="18"/>
        </w:rPr>
        <w:t> </w:t>
      </w:r>
      <w:r>
        <w:rPr>
          <w:i/>
          <w:sz w:val="18"/>
        </w:rPr>
        <w:t>the</w:t>
      </w:r>
      <w:r>
        <w:rPr>
          <w:i/>
          <w:spacing w:val="-10"/>
          <w:sz w:val="18"/>
        </w:rPr>
        <w:t> </w:t>
      </w:r>
      <w:r>
        <w:rPr>
          <w:i/>
          <w:sz w:val="18"/>
        </w:rPr>
        <w:t>persons</w:t>
      </w:r>
      <w:r>
        <w:rPr>
          <w:i/>
          <w:spacing w:val="-12"/>
          <w:sz w:val="18"/>
        </w:rPr>
        <w:t> </w:t>
      </w:r>
      <w:r>
        <w:rPr>
          <w:i/>
          <w:sz w:val="18"/>
        </w:rPr>
        <w:t>by</w:t>
      </w:r>
      <w:r>
        <w:rPr>
          <w:i/>
          <w:spacing w:val="-11"/>
          <w:sz w:val="18"/>
        </w:rPr>
        <w:t> </w:t>
      </w:r>
      <w:r>
        <w:rPr>
          <w:i/>
          <w:sz w:val="18"/>
        </w:rPr>
        <w:t>whom, those steps should be</w:t>
      </w:r>
      <w:r>
        <w:rPr>
          <w:i/>
          <w:spacing w:val="-4"/>
          <w:sz w:val="18"/>
        </w:rPr>
        <w:t> </w:t>
      </w:r>
      <w:r>
        <w:rPr>
          <w:i/>
          <w:sz w:val="18"/>
        </w:rPr>
        <w:t>performed;</w:t>
      </w:r>
    </w:p>
    <w:p>
      <w:pPr>
        <w:pStyle w:val="BodyText"/>
        <w:spacing w:before="1"/>
        <w:rPr>
          <w:i/>
          <w:sz w:val="20"/>
        </w:rPr>
      </w:pPr>
    </w:p>
    <w:p>
      <w:pPr>
        <w:pStyle w:val="ListParagraph"/>
        <w:numPr>
          <w:ilvl w:val="1"/>
          <w:numId w:val="4"/>
        </w:numPr>
        <w:tabs>
          <w:tab w:pos="3158" w:val="left" w:leader="none"/>
        </w:tabs>
        <w:spacing w:line="309" w:lineRule="auto" w:before="1" w:after="0"/>
        <w:ind w:left="2780" w:right="636" w:firstLine="0"/>
        <w:jc w:val="both"/>
        <w:rPr>
          <w:i/>
          <w:sz w:val="18"/>
        </w:rPr>
      </w:pPr>
      <w:r>
        <w:rPr>
          <w:i/>
          <w:sz w:val="18"/>
        </w:rPr>
        <w:t>produce an anonymised summary of each overview report and make it available for inspection at the Board’s principal</w:t>
      </w:r>
      <w:r>
        <w:rPr>
          <w:i/>
          <w:spacing w:val="-13"/>
          <w:sz w:val="18"/>
        </w:rPr>
        <w:t> </w:t>
      </w:r>
      <w:r>
        <w:rPr>
          <w:i/>
          <w:sz w:val="18"/>
        </w:rPr>
        <w:t>office.</w:t>
      </w:r>
    </w:p>
    <w:p>
      <w:pPr>
        <w:pStyle w:val="BodyText"/>
        <w:spacing w:before="1"/>
        <w:rPr>
          <w:i/>
          <w:sz w:val="20"/>
        </w:rPr>
      </w:pPr>
    </w:p>
    <w:p>
      <w:pPr>
        <w:pStyle w:val="ListParagraph"/>
        <w:numPr>
          <w:ilvl w:val="0"/>
          <w:numId w:val="4"/>
        </w:numPr>
        <w:tabs>
          <w:tab w:pos="2272" w:val="left" w:leader="none"/>
        </w:tabs>
        <w:spacing w:line="240" w:lineRule="auto" w:before="1" w:after="0"/>
        <w:ind w:left="2271" w:right="0" w:hanging="342"/>
        <w:jc w:val="left"/>
        <w:rPr>
          <w:i/>
          <w:sz w:val="18"/>
        </w:rPr>
      </w:pPr>
      <w:r>
        <w:rPr>
          <w:i/>
          <w:sz w:val="18"/>
        </w:rPr>
        <w:t>The Board must provide the National Assembly for Wales with a copy</w:t>
      </w:r>
      <w:r>
        <w:rPr>
          <w:i/>
          <w:spacing w:val="-20"/>
          <w:sz w:val="18"/>
        </w:rPr>
        <w:t> </w:t>
      </w:r>
      <w:r>
        <w:rPr>
          <w:i/>
          <w:sz w:val="18"/>
        </w:rPr>
        <w:t>of—</w:t>
      </w:r>
    </w:p>
    <w:p>
      <w:pPr>
        <w:pStyle w:val="BodyText"/>
        <w:rPr>
          <w:i/>
          <w:sz w:val="25"/>
        </w:rPr>
      </w:pPr>
    </w:p>
    <w:p>
      <w:pPr>
        <w:pStyle w:val="ListParagraph"/>
        <w:numPr>
          <w:ilvl w:val="1"/>
          <w:numId w:val="4"/>
        </w:numPr>
        <w:tabs>
          <w:tab w:pos="3122" w:val="left" w:leader="none"/>
        </w:tabs>
        <w:spacing w:line="314" w:lineRule="auto" w:before="0" w:after="0"/>
        <w:ind w:left="2780" w:right="637" w:firstLine="0"/>
        <w:jc w:val="both"/>
        <w:rPr>
          <w:i/>
          <w:sz w:val="18"/>
        </w:rPr>
      </w:pPr>
      <w:r>
        <w:rPr>
          <w:i/>
          <w:sz w:val="18"/>
        </w:rPr>
        <w:t>each report provided by a representative body in accordance with paragraph (4)(a)</w:t>
      </w:r>
      <w:r>
        <w:rPr>
          <w:i/>
          <w:spacing w:val="-3"/>
          <w:sz w:val="18"/>
        </w:rPr>
        <w:t> </w:t>
      </w:r>
      <w:r>
        <w:rPr>
          <w:i/>
          <w:sz w:val="18"/>
        </w:rPr>
        <w:t>above;</w:t>
      </w:r>
    </w:p>
    <w:p>
      <w:pPr>
        <w:pStyle w:val="BodyText"/>
        <w:spacing w:before="5"/>
        <w:rPr>
          <w:i/>
          <w:sz w:val="19"/>
        </w:rPr>
      </w:pPr>
    </w:p>
    <w:p>
      <w:pPr>
        <w:pStyle w:val="ListParagraph"/>
        <w:numPr>
          <w:ilvl w:val="1"/>
          <w:numId w:val="4"/>
        </w:numPr>
        <w:tabs>
          <w:tab w:pos="3119" w:val="left" w:leader="none"/>
        </w:tabs>
        <w:spacing w:line="240" w:lineRule="auto" w:before="0" w:after="0"/>
        <w:ind w:left="3118" w:right="0" w:hanging="339"/>
        <w:jc w:val="left"/>
        <w:rPr>
          <w:i/>
          <w:sz w:val="18"/>
        </w:rPr>
      </w:pPr>
      <w:r>
        <w:rPr>
          <w:i/>
          <w:sz w:val="18"/>
        </w:rPr>
        <w:t>each anonymised summary;</w:t>
      </w:r>
      <w:r>
        <w:rPr>
          <w:i/>
          <w:spacing w:val="-6"/>
          <w:sz w:val="18"/>
        </w:rPr>
        <w:t> </w:t>
      </w:r>
      <w:r>
        <w:rPr>
          <w:i/>
          <w:sz w:val="18"/>
        </w:rPr>
        <w:t>and</w:t>
      </w:r>
    </w:p>
    <w:p>
      <w:pPr>
        <w:pStyle w:val="BodyText"/>
        <w:rPr>
          <w:i/>
          <w:sz w:val="20"/>
        </w:rPr>
      </w:pPr>
    </w:p>
    <w:p>
      <w:pPr>
        <w:pStyle w:val="BodyText"/>
        <w:rPr>
          <w:i/>
          <w:sz w:val="20"/>
        </w:rPr>
      </w:pPr>
    </w:p>
    <w:p>
      <w:pPr>
        <w:pStyle w:val="BodyText"/>
        <w:spacing w:before="9"/>
        <w:rPr>
          <w:i/>
          <w:sz w:val="10"/>
        </w:rPr>
      </w:pPr>
      <w:r>
        <w:rPr/>
        <w:pict>
          <v:rect style="position:absolute;margin-left:70.944pt;margin-top:8.496133pt;width:144.020pt;height:.47998pt;mso-position-horizontal-relative:page;mso-position-vertical-relative:paragraph;z-index:-15726592;mso-wrap-distance-left:0;mso-wrap-distance-right:0" filled="true" fillcolor="#000000" stroked="false">
            <v:fill type="solid"/>
            <w10:wrap type="topAndBottom"/>
          </v:rect>
        </w:pict>
      </w:r>
    </w:p>
    <w:p>
      <w:pPr>
        <w:pStyle w:val="ListParagraph"/>
        <w:numPr>
          <w:ilvl w:val="0"/>
          <w:numId w:val="2"/>
        </w:numPr>
        <w:tabs>
          <w:tab w:pos="1930" w:val="left" w:leader="none"/>
          <w:tab w:pos="1931" w:val="left" w:leader="none"/>
        </w:tabs>
        <w:spacing w:line="240" w:lineRule="auto" w:before="56" w:after="0"/>
        <w:ind w:left="1930" w:right="0" w:hanging="853"/>
        <w:jc w:val="left"/>
        <w:rPr>
          <w:rFonts w:ascii="Tahoma"/>
          <w:sz w:val="16"/>
        </w:rPr>
      </w:pPr>
      <w:r>
        <w:rPr>
          <w:rFonts w:ascii="Tahoma"/>
          <w:sz w:val="16"/>
        </w:rPr>
        <w:t>Working Together to Safeguard Children (2010), since revised in 2013, 2015, 2017 and</w:t>
      </w:r>
      <w:r>
        <w:rPr>
          <w:rFonts w:ascii="Tahoma"/>
          <w:spacing w:val="-15"/>
          <w:sz w:val="16"/>
        </w:rPr>
        <w:t> </w:t>
      </w:r>
      <w:r>
        <w:rPr>
          <w:rFonts w:ascii="Tahoma"/>
          <w:sz w:val="16"/>
        </w:rPr>
        <w:t>2018</w:t>
      </w:r>
    </w:p>
    <w:p>
      <w:pPr>
        <w:pStyle w:val="ListParagraph"/>
        <w:numPr>
          <w:ilvl w:val="0"/>
          <w:numId w:val="2"/>
        </w:numPr>
        <w:tabs>
          <w:tab w:pos="1930" w:val="left" w:leader="none"/>
          <w:tab w:pos="1931" w:val="left" w:leader="none"/>
        </w:tabs>
        <w:spacing w:line="240" w:lineRule="auto" w:before="67" w:after="0"/>
        <w:ind w:left="1930" w:right="0" w:hanging="853"/>
        <w:jc w:val="left"/>
        <w:rPr>
          <w:rFonts w:ascii="Tahoma"/>
          <w:sz w:val="16"/>
        </w:rPr>
      </w:pPr>
      <w:r>
        <w:rPr>
          <w:rFonts w:ascii="Tahoma"/>
          <w:sz w:val="16"/>
        </w:rPr>
        <w:t>Letter from Tim Loughton MP to all LSCB Chairs dated 10</w:t>
      </w:r>
      <w:r>
        <w:rPr>
          <w:rFonts w:ascii="Tahoma"/>
          <w:sz w:val="16"/>
          <w:vertAlign w:val="superscript"/>
        </w:rPr>
        <w:t>th</w:t>
      </w:r>
      <w:r>
        <w:rPr>
          <w:rFonts w:ascii="Tahoma"/>
          <w:sz w:val="16"/>
          <w:vertAlign w:val="baseline"/>
        </w:rPr>
        <w:t> June</w:t>
      </w:r>
      <w:r>
        <w:rPr>
          <w:rFonts w:ascii="Tahoma"/>
          <w:spacing w:val="-10"/>
          <w:sz w:val="16"/>
          <w:vertAlign w:val="baseline"/>
        </w:rPr>
        <w:t> </w:t>
      </w:r>
      <w:r>
        <w:rPr>
          <w:rFonts w:ascii="Tahoma"/>
          <w:sz w:val="16"/>
          <w:vertAlign w:val="baseline"/>
        </w:rPr>
        <w:t>2010</w:t>
      </w:r>
    </w:p>
    <w:p>
      <w:pPr>
        <w:spacing w:after="0" w:line="240" w:lineRule="auto"/>
        <w:jc w:val="left"/>
        <w:rPr>
          <w:rFonts w:ascii="Tahoma"/>
          <w:sz w:val="16"/>
        </w:rPr>
        <w:sectPr>
          <w:pgSz w:w="11910" w:h="16850"/>
          <w:pgMar w:header="0" w:footer="643" w:top="1340" w:bottom="840" w:left="340" w:right="780"/>
        </w:sectPr>
      </w:pPr>
    </w:p>
    <w:p>
      <w:pPr>
        <w:pStyle w:val="ListParagraph"/>
        <w:numPr>
          <w:ilvl w:val="1"/>
          <w:numId w:val="4"/>
        </w:numPr>
        <w:tabs>
          <w:tab w:pos="3100" w:val="left" w:leader="none"/>
        </w:tabs>
        <w:spacing w:line="240" w:lineRule="auto" w:before="79" w:after="0"/>
        <w:ind w:left="3099" w:right="0" w:hanging="320"/>
        <w:jc w:val="left"/>
        <w:rPr>
          <w:i/>
          <w:sz w:val="18"/>
        </w:rPr>
      </w:pPr>
      <w:r>
        <w:rPr>
          <w:i/>
          <w:sz w:val="18"/>
        </w:rPr>
        <w:t>each overview</w:t>
      </w:r>
      <w:r>
        <w:rPr>
          <w:i/>
          <w:spacing w:val="-6"/>
          <w:sz w:val="18"/>
        </w:rPr>
        <w:t> </w:t>
      </w:r>
      <w:r>
        <w:rPr>
          <w:i/>
          <w:sz w:val="18"/>
        </w:rPr>
        <w:t>report.</w:t>
      </w:r>
    </w:p>
    <w:p>
      <w:pPr>
        <w:pStyle w:val="BodyText"/>
        <w:spacing w:before="1"/>
        <w:rPr>
          <w:i/>
          <w:sz w:val="25"/>
        </w:rPr>
      </w:pPr>
    </w:p>
    <w:p>
      <w:pPr>
        <w:pStyle w:val="ListParagraph"/>
        <w:numPr>
          <w:ilvl w:val="0"/>
          <w:numId w:val="4"/>
        </w:numPr>
        <w:tabs>
          <w:tab w:pos="2272" w:val="left" w:leader="none"/>
        </w:tabs>
        <w:spacing w:line="240" w:lineRule="auto" w:before="0" w:after="0"/>
        <w:ind w:left="2271" w:right="0" w:hanging="342"/>
        <w:jc w:val="left"/>
        <w:rPr>
          <w:i/>
          <w:sz w:val="18"/>
        </w:rPr>
      </w:pPr>
      <w:r>
        <w:rPr>
          <w:i/>
          <w:sz w:val="18"/>
        </w:rPr>
        <w:t>The Board must provide each representative body with a copy</w:t>
      </w:r>
      <w:r>
        <w:rPr>
          <w:i/>
          <w:spacing w:val="-16"/>
          <w:sz w:val="18"/>
        </w:rPr>
        <w:t> </w:t>
      </w:r>
      <w:r>
        <w:rPr>
          <w:i/>
          <w:sz w:val="18"/>
        </w:rPr>
        <w:t>of—</w:t>
      </w:r>
    </w:p>
    <w:p>
      <w:pPr>
        <w:pStyle w:val="BodyText"/>
        <w:spacing w:before="3"/>
        <w:rPr>
          <w:i/>
          <w:sz w:val="25"/>
        </w:rPr>
      </w:pPr>
    </w:p>
    <w:p>
      <w:pPr>
        <w:pStyle w:val="ListParagraph"/>
        <w:numPr>
          <w:ilvl w:val="1"/>
          <w:numId w:val="4"/>
        </w:numPr>
        <w:tabs>
          <w:tab w:pos="3114" w:val="left" w:leader="none"/>
        </w:tabs>
        <w:spacing w:line="240" w:lineRule="auto" w:before="0" w:after="0"/>
        <w:ind w:left="3114" w:right="0" w:hanging="334"/>
        <w:jc w:val="left"/>
        <w:rPr>
          <w:i/>
          <w:sz w:val="18"/>
        </w:rPr>
      </w:pPr>
      <w:r>
        <w:rPr>
          <w:i/>
          <w:sz w:val="18"/>
        </w:rPr>
        <w:t>each anonymised summary;</w:t>
      </w:r>
      <w:r>
        <w:rPr>
          <w:i/>
          <w:spacing w:val="-6"/>
          <w:sz w:val="18"/>
        </w:rPr>
        <w:t> </w:t>
      </w:r>
      <w:r>
        <w:rPr>
          <w:i/>
          <w:sz w:val="18"/>
        </w:rPr>
        <w:t>and</w:t>
      </w:r>
    </w:p>
    <w:p>
      <w:pPr>
        <w:pStyle w:val="BodyText"/>
        <w:rPr>
          <w:i/>
          <w:sz w:val="25"/>
        </w:rPr>
      </w:pPr>
    </w:p>
    <w:p>
      <w:pPr>
        <w:pStyle w:val="ListParagraph"/>
        <w:numPr>
          <w:ilvl w:val="1"/>
          <w:numId w:val="4"/>
        </w:numPr>
        <w:tabs>
          <w:tab w:pos="3119" w:val="left" w:leader="none"/>
        </w:tabs>
        <w:spacing w:line="240" w:lineRule="auto" w:before="0" w:after="0"/>
        <w:ind w:left="3118" w:right="0" w:hanging="339"/>
        <w:jc w:val="left"/>
        <w:rPr>
          <w:i/>
          <w:sz w:val="18"/>
        </w:rPr>
      </w:pPr>
      <w:r>
        <w:rPr>
          <w:i/>
          <w:sz w:val="18"/>
        </w:rPr>
        <w:t>unless the Board considers it inappropriate, each overview</w:t>
      </w:r>
      <w:r>
        <w:rPr>
          <w:i/>
          <w:spacing w:val="-17"/>
          <w:sz w:val="18"/>
        </w:rPr>
        <w:t> </w:t>
      </w:r>
      <w:r>
        <w:rPr>
          <w:i/>
          <w:sz w:val="18"/>
        </w:rPr>
        <w:t>report.</w:t>
      </w:r>
    </w:p>
    <w:p>
      <w:pPr>
        <w:pStyle w:val="BodyText"/>
        <w:spacing w:before="3"/>
        <w:rPr>
          <w:i/>
          <w:sz w:val="25"/>
        </w:rPr>
      </w:pPr>
    </w:p>
    <w:p>
      <w:pPr>
        <w:pStyle w:val="BodyText"/>
        <w:spacing w:line="312" w:lineRule="auto"/>
        <w:ind w:left="1930" w:right="631"/>
        <w:jc w:val="both"/>
      </w:pPr>
      <w:r>
        <w:rPr/>
        <w:t>These were the regulations in force when both decisions referred to above were made by the Information Commissioner. The decisions both considered the extent to which the Safeguarding Boards were public authorities for the purposes of the FOIA, and whether or not the Safeguarding Board partners held the information for the purposes of the FOIA.</w:t>
      </w:r>
    </w:p>
    <w:p>
      <w:pPr>
        <w:pStyle w:val="BodyText"/>
        <w:spacing w:before="9"/>
        <w:rPr>
          <w:sz w:val="19"/>
        </w:rPr>
      </w:pPr>
    </w:p>
    <w:p>
      <w:pPr>
        <w:pStyle w:val="BodyText"/>
        <w:spacing w:line="316" w:lineRule="auto"/>
        <w:ind w:left="1930" w:right="629"/>
        <w:jc w:val="both"/>
      </w:pPr>
      <w:r>
        <w:rPr/>
        <w:t>Despite the differences in the regulations, both the Welsh and English versions effectively recognise that the reports are provided to the Board Partner/representative body in order for lessons to be learned. This point was specifically addressed in the Doncaster MBC case referred to above – i.e. the complainant in that case argued that the SCR is not just held for safe keeping but ‘</w:t>
      </w:r>
      <w:r>
        <w:rPr>
          <w:i/>
        </w:rPr>
        <w:t>as a document to learn lessons from and as a record of the council’s own culpability</w:t>
      </w:r>
      <w:r>
        <w:rPr/>
        <w:t>’</w:t>
      </w:r>
      <w:r>
        <w:rPr>
          <w:rFonts w:ascii="Tahoma" w:hAnsi="Tahoma"/>
          <w:b/>
          <w:vertAlign w:val="superscript"/>
        </w:rPr>
        <w:t>8</w:t>
      </w:r>
      <w:r>
        <w:rPr>
          <w:vertAlign w:val="baseline"/>
        </w:rPr>
        <w:t>. This argument was rejected by the Information Commissioner who was satisfied</w:t>
      </w:r>
      <w:r>
        <w:rPr>
          <w:spacing w:val="-10"/>
          <w:vertAlign w:val="baseline"/>
        </w:rPr>
        <w:t> </w:t>
      </w:r>
      <w:r>
        <w:rPr>
          <w:vertAlign w:val="baseline"/>
        </w:rPr>
        <w:t>that</w:t>
      </w:r>
      <w:r>
        <w:rPr>
          <w:spacing w:val="-9"/>
          <w:vertAlign w:val="baseline"/>
        </w:rPr>
        <w:t> </w:t>
      </w:r>
      <w:r>
        <w:rPr>
          <w:vertAlign w:val="baseline"/>
        </w:rPr>
        <w:t>the</w:t>
      </w:r>
      <w:r>
        <w:rPr>
          <w:spacing w:val="-10"/>
          <w:vertAlign w:val="baseline"/>
        </w:rPr>
        <w:t> </w:t>
      </w:r>
      <w:r>
        <w:rPr>
          <w:vertAlign w:val="baseline"/>
        </w:rPr>
        <w:t>information</w:t>
      </w:r>
      <w:r>
        <w:rPr>
          <w:spacing w:val="-11"/>
          <w:vertAlign w:val="baseline"/>
        </w:rPr>
        <w:t> </w:t>
      </w:r>
      <w:r>
        <w:rPr>
          <w:vertAlign w:val="baseline"/>
        </w:rPr>
        <w:t>was</w:t>
      </w:r>
      <w:r>
        <w:rPr>
          <w:spacing w:val="-6"/>
          <w:vertAlign w:val="baseline"/>
        </w:rPr>
        <w:t> </w:t>
      </w:r>
      <w:r>
        <w:rPr>
          <w:vertAlign w:val="baseline"/>
        </w:rPr>
        <w:t>not</w:t>
      </w:r>
      <w:r>
        <w:rPr>
          <w:spacing w:val="-9"/>
          <w:vertAlign w:val="baseline"/>
        </w:rPr>
        <w:t> </w:t>
      </w:r>
      <w:r>
        <w:rPr>
          <w:vertAlign w:val="baseline"/>
        </w:rPr>
        <w:t>held</w:t>
      </w:r>
      <w:r>
        <w:rPr>
          <w:spacing w:val="-10"/>
          <w:vertAlign w:val="baseline"/>
        </w:rPr>
        <w:t> </w:t>
      </w:r>
      <w:r>
        <w:rPr>
          <w:vertAlign w:val="baseline"/>
        </w:rPr>
        <w:t>for</w:t>
      </w:r>
      <w:r>
        <w:rPr>
          <w:spacing w:val="-10"/>
          <w:vertAlign w:val="baseline"/>
        </w:rPr>
        <w:t> </w:t>
      </w:r>
      <w:r>
        <w:rPr>
          <w:vertAlign w:val="baseline"/>
        </w:rPr>
        <w:t>the</w:t>
      </w:r>
      <w:r>
        <w:rPr>
          <w:spacing w:val="-7"/>
          <w:vertAlign w:val="baseline"/>
        </w:rPr>
        <w:t> </w:t>
      </w:r>
      <w:r>
        <w:rPr>
          <w:vertAlign w:val="baseline"/>
        </w:rPr>
        <w:t>Council’s</w:t>
      </w:r>
      <w:r>
        <w:rPr>
          <w:spacing w:val="-11"/>
          <w:vertAlign w:val="baseline"/>
        </w:rPr>
        <w:t> </w:t>
      </w:r>
      <w:r>
        <w:rPr>
          <w:vertAlign w:val="baseline"/>
        </w:rPr>
        <w:t>own</w:t>
      </w:r>
      <w:r>
        <w:rPr>
          <w:spacing w:val="-11"/>
          <w:vertAlign w:val="baseline"/>
        </w:rPr>
        <w:t> </w:t>
      </w:r>
      <w:r>
        <w:rPr>
          <w:vertAlign w:val="baseline"/>
        </w:rPr>
        <w:t>purposes,</w:t>
      </w:r>
      <w:r>
        <w:rPr>
          <w:spacing w:val="-11"/>
          <w:vertAlign w:val="baseline"/>
        </w:rPr>
        <w:t> </w:t>
      </w:r>
      <w:r>
        <w:rPr>
          <w:vertAlign w:val="baseline"/>
        </w:rPr>
        <w:t>and</w:t>
      </w:r>
      <w:r>
        <w:rPr>
          <w:spacing w:val="-4"/>
          <w:vertAlign w:val="baseline"/>
        </w:rPr>
        <w:t> </w:t>
      </w:r>
      <w:r>
        <w:rPr>
          <w:vertAlign w:val="baseline"/>
        </w:rPr>
        <w:t>as</w:t>
      </w:r>
      <w:r>
        <w:rPr>
          <w:spacing w:val="-11"/>
          <w:vertAlign w:val="baseline"/>
        </w:rPr>
        <w:t> </w:t>
      </w:r>
      <w:r>
        <w:rPr>
          <w:vertAlign w:val="baseline"/>
        </w:rPr>
        <w:t>such</w:t>
      </w:r>
      <w:r>
        <w:rPr>
          <w:spacing w:val="-9"/>
          <w:vertAlign w:val="baseline"/>
        </w:rPr>
        <w:t> </w:t>
      </w:r>
      <w:r>
        <w:rPr>
          <w:vertAlign w:val="baseline"/>
        </w:rPr>
        <w:t>was not held for the purposes of the</w:t>
      </w:r>
      <w:r>
        <w:rPr>
          <w:spacing w:val="-8"/>
          <w:vertAlign w:val="baseline"/>
        </w:rPr>
        <w:t> </w:t>
      </w:r>
      <w:r>
        <w:rPr>
          <w:vertAlign w:val="baseline"/>
        </w:rPr>
        <w:t>FOIA.</w:t>
      </w:r>
    </w:p>
    <w:p>
      <w:pPr>
        <w:pStyle w:val="BodyText"/>
        <w:spacing w:before="4"/>
        <w:rPr>
          <w:sz w:val="19"/>
        </w:rPr>
      </w:pPr>
    </w:p>
    <w:p>
      <w:pPr>
        <w:pStyle w:val="BodyText"/>
        <w:spacing w:line="314" w:lineRule="auto"/>
        <w:ind w:left="1930" w:right="642"/>
        <w:jc w:val="both"/>
      </w:pPr>
      <w:r>
        <w:rPr/>
        <w:t>One further difference in the English and Welsh regulations is regulation 7 of the Local Safeguarding Children Boards (Wales) Regulations 2006. This provides as follows:-</w:t>
      </w:r>
    </w:p>
    <w:p>
      <w:pPr>
        <w:pStyle w:val="BodyText"/>
        <w:spacing w:before="5"/>
        <w:rPr>
          <w:sz w:val="19"/>
        </w:rPr>
      </w:pPr>
    </w:p>
    <w:p>
      <w:pPr>
        <w:spacing w:line="314" w:lineRule="auto" w:before="0"/>
        <w:ind w:left="1930" w:right="640" w:firstLine="0"/>
        <w:jc w:val="both"/>
        <w:rPr>
          <w:i/>
          <w:sz w:val="18"/>
        </w:rPr>
      </w:pPr>
      <w:r>
        <w:rPr>
          <w:i/>
          <w:sz w:val="18"/>
        </w:rPr>
        <w:t>‘(1) A children’s services authority must provide a member of its staff to provide administrative services to the Board.</w:t>
      </w:r>
    </w:p>
    <w:p>
      <w:pPr>
        <w:pStyle w:val="BodyText"/>
        <w:spacing w:before="5"/>
        <w:rPr>
          <w:i/>
          <w:sz w:val="19"/>
        </w:rPr>
      </w:pPr>
    </w:p>
    <w:p>
      <w:pPr>
        <w:spacing w:line="314" w:lineRule="auto" w:before="0"/>
        <w:ind w:left="1930" w:right="642" w:firstLine="0"/>
        <w:jc w:val="left"/>
        <w:rPr>
          <w:i/>
          <w:sz w:val="18"/>
        </w:rPr>
      </w:pPr>
      <w:r>
        <w:rPr>
          <w:i/>
          <w:sz w:val="18"/>
        </w:rPr>
        <w:t>(2) The records of a Board (in whatever form) are to be treated as if they were records of the children’s services authority’.</w:t>
      </w:r>
    </w:p>
    <w:p>
      <w:pPr>
        <w:pStyle w:val="BodyText"/>
        <w:spacing w:before="5"/>
        <w:rPr>
          <w:i/>
          <w:sz w:val="19"/>
        </w:rPr>
      </w:pPr>
    </w:p>
    <w:p>
      <w:pPr>
        <w:pStyle w:val="BodyText"/>
        <w:spacing w:line="312" w:lineRule="auto"/>
        <w:ind w:left="1930" w:right="634"/>
        <w:jc w:val="both"/>
      </w:pPr>
      <w:r>
        <w:rPr/>
        <w:t>One construction of Regulation 7(2) is that this brings all of the records of the Local Safeguarding Children’s Board within the scope of FOIA. However, it is far from clear whether the definition of ‘records’ extends to a serious case review given that this is not defined. Regulation 4 also contains very prescriptive terms concerning serious case reviews, including for example anonymity provisions protecting the contents of the same, and the requirement for overview reports, which is not reflected within Regulation 7(2) .</w:t>
      </w:r>
    </w:p>
    <w:p>
      <w:pPr>
        <w:pStyle w:val="BodyText"/>
        <w:spacing w:before="9"/>
        <w:rPr>
          <w:sz w:val="19"/>
        </w:rPr>
      </w:pPr>
    </w:p>
    <w:p>
      <w:pPr>
        <w:pStyle w:val="BodyText"/>
        <w:spacing w:line="312" w:lineRule="auto"/>
        <w:ind w:left="1930" w:right="634"/>
        <w:jc w:val="both"/>
      </w:pPr>
      <w:r>
        <w:rPr/>
        <w:t>We are also conscious that Regulation 7 was repealed on 6 April 2016 (upon the Safeguarding</w:t>
      </w:r>
      <w:r>
        <w:rPr>
          <w:spacing w:val="-12"/>
        </w:rPr>
        <w:t> </w:t>
      </w:r>
      <w:r>
        <w:rPr/>
        <w:t>Boards</w:t>
      </w:r>
      <w:r>
        <w:rPr>
          <w:spacing w:val="-10"/>
        </w:rPr>
        <w:t> </w:t>
      </w:r>
      <w:r>
        <w:rPr/>
        <w:t>(General)</w:t>
      </w:r>
      <w:r>
        <w:rPr>
          <w:spacing w:val="-13"/>
        </w:rPr>
        <w:t> </w:t>
      </w:r>
      <w:r>
        <w:rPr/>
        <w:t>(Wales)</w:t>
      </w:r>
      <w:r>
        <w:rPr>
          <w:spacing w:val="-12"/>
        </w:rPr>
        <w:t> </w:t>
      </w:r>
      <w:r>
        <w:rPr/>
        <w:t>Regulations</w:t>
      </w:r>
      <w:r>
        <w:rPr>
          <w:spacing w:val="-13"/>
        </w:rPr>
        <w:t> </w:t>
      </w:r>
      <w:r>
        <w:rPr/>
        <w:t>2015</w:t>
      </w:r>
      <w:r>
        <w:rPr>
          <w:spacing w:val="-12"/>
        </w:rPr>
        <w:t> </w:t>
      </w:r>
      <w:r>
        <w:rPr/>
        <w:t>coming</w:t>
      </w:r>
      <w:r>
        <w:rPr>
          <w:spacing w:val="-11"/>
        </w:rPr>
        <w:t> </w:t>
      </w:r>
      <w:r>
        <w:rPr/>
        <w:t>into</w:t>
      </w:r>
      <w:r>
        <w:rPr>
          <w:spacing w:val="-12"/>
        </w:rPr>
        <w:t> </w:t>
      </w:r>
      <w:r>
        <w:rPr/>
        <w:t>force),</w:t>
      </w:r>
      <w:r>
        <w:rPr>
          <w:spacing w:val="-13"/>
        </w:rPr>
        <w:t> </w:t>
      </w:r>
      <w:r>
        <w:rPr/>
        <w:t>which</w:t>
      </w:r>
      <w:r>
        <w:rPr>
          <w:spacing w:val="-13"/>
        </w:rPr>
        <w:t> </w:t>
      </w:r>
      <w:r>
        <w:rPr/>
        <w:t>contain no equivalent provision to regulation</w:t>
      </w:r>
      <w:r>
        <w:rPr>
          <w:spacing w:val="-5"/>
        </w:rPr>
        <w:t> </w:t>
      </w:r>
      <w:r>
        <w:rPr/>
        <w:t>7(2).</w:t>
      </w:r>
    </w:p>
    <w:p>
      <w:pPr>
        <w:pStyle w:val="BodyText"/>
        <w:spacing w:before="1"/>
        <w:rPr>
          <w:sz w:val="21"/>
        </w:rPr>
      </w:pPr>
    </w:p>
    <w:p>
      <w:pPr>
        <w:pStyle w:val="BodyText"/>
        <w:spacing w:line="326" w:lineRule="auto"/>
        <w:ind w:left="1930" w:right="633"/>
        <w:jc w:val="both"/>
      </w:pPr>
      <w:r>
        <w:rPr/>
        <w:t>The regulatory appraisal</w:t>
      </w:r>
      <w:r>
        <w:rPr>
          <w:rFonts w:ascii="Tahoma"/>
          <w:b/>
          <w:vertAlign w:val="superscript"/>
        </w:rPr>
        <w:t>9</w:t>
      </w:r>
      <w:r>
        <w:rPr>
          <w:rFonts w:ascii="Tahoma"/>
          <w:b/>
          <w:vertAlign w:val="baseline"/>
        </w:rPr>
        <w:t> </w:t>
      </w:r>
      <w:r>
        <w:rPr>
          <w:vertAlign w:val="baseline"/>
        </w:rPr>
        <w:t>document in relation to the Local Safeguarding Children Boards (Wales) Regulations 2006 provides some assistance here. It is clear that costs were an</w:t>
      </w:r>
    </w:p>
    <w:p>
      <w:pPr>
        <w:pStyle w:val="BodyText"/>
        <w:spacing w:before="8"/>
        <w:rPr>
          <w:sz w:val="27"/>
        </w:rPr>
      </w:pPr>
      <w:r>
        <w:rPr/>
        <w:pict>
          <v:rect style="position:absolute;margin-left:70.944pt;margin-top:18.785479pt;width:144.020pt;height:.47998pt;mso-position-horizontal-relative:page;mso-position-vertical-relative:paragraph;z-index:-15726080;mso-wrap-distance-left:0;mso-wrap-distance-right:0" filled="true" fillcolor="#000000" stroked="false">
            <v:fill type="solid"/>
            <w10:wrap type="topAndBottom"/>
          </v:rect>
        </w:pict>
      </w:r>
    </w:p>
    <w:p>
      <w:pPr>
        <w:pStyle w:val="ListParagraph"/>
        <w:numPr>
          <w:ilvl w:val="0"/>
          <w:numId w:val="2"/>
        </w:numPr>
        <w:tabs>
          <w:tab w:pos="1930" w:val="left" w:leader="none"/>
          <w:tab w:pos="1931" w:val="left" w:leader="none"/>
        </w:tabs>
        <w:spacing w:line="240" w:lineRule="auto" w:before="56" w:after="0"/>
        <w:ind w:left="1930" w:right="0" w:hanging="853"/>
        <w:jc w:val="left"/>
        <w:rPr>
          <w:rFonts w:ascii="Tahoma"/>
          <w:sz w:val="16"/>
        </w:rPr>
      </w:pPr>
      <w:r>
        <w:rPr>
          <w:rFonts w:ascii="Tahoma"/>
          <w:sz w:val="16"/>
        </w:rPr>
        <w:t>Para 13, FOIA Decision Notice reference:</w:t>
      </w:r>
      <w:r>
        <w:rPr>
          <w:rFonts w:ascii="Tahoma"/>
          <w:spacing w:val="-3"/>
          <w:sz w:val="16"/>
        </w:rPr>
        <w:t> </w:t>
      </w:r>
      <w:r>
        <w:rPr>
          <w:rFonts w:ascii="Tahoma"/>
          <w:sz w:val="16"/>
        </w:rPr>
        <w:t>FS50368110</w:t>
      </w:r>
    </w:p>
    <w:p>
      <w:pPr>
        <w:spacing w:before="68"/>
        <w:ind w:left="1078" w:right="0" w:firstLine="0"/>
        <w:jc w:val="left"/>
        <w:rPr>
          <w:rFonts w:ascii="Tahoma"/>
          <w:b/>
          <w:sz w:val="13"/>
        </w:rPr>
      </w:pPr>
      <w:r>
        <w:rPr>
          <w:rFonts w:ascii="Tahoma"/>
          <w:b/>
          <w:w w:val="99"/>
          <w:sz w:val="13"/>
        </w:rPr>
        <w:t>9</w:t>
      </w:r>
    </w:p>
    <w:p>
      <w:pPr>
        <w:spacing w:before="84"/>
        <w:ind w:left="1930" w:right="713" w:firstLine="0"/>
        <w:jc w:val="left"/>
        <w:rPr>
          <w:rFonts w:ascii="Tahoma"/>
          <w:sz w:val="16"/>
        </w:rPr>
      </w:pPr>
      <w:hyperlink r:id="rId11">
        <w:r>
          <w:rPr>
            <w:rFonts w:ascii="Tahoma"/>
            <w:color w:val="0000FF"/>
            <w:sz w:val="16"/>
            <w:u w:val="single" w:color="0000FF"/>
          </w:rPr>
          <w:t>http://www.assembly.wales/laid%20documents/ld5702%20-%20the%20local%20safeguarding%20children%20bo</w:t>
        </w:r>
      </w:hyperlink>
      <w:r>
        <w:rPr>
          <w:rFonts w:ascii="Tahoma"/>
          <w:color w:val="0000FF"/>
          <w:sz w:val="16"/>
        </w:rPr>
        <w:t> </w:t>
      </w:r>
      <w:hyperlink r:id="rId11">
        <w:r>
          <w:rPr>
            <w:rFonts w:ascii="Tahoma"/>
            <w:color w:val="0000FF"/>
            <w:sz w:val="16"/>
            <w:u w:val="single" w:color="0000FF"/>
          </w:rPr>
          <w:t>ards%20(wales)%20regulations%202006%20regulatory%20appraisal-06062006-20254/bus-guide-</w:t>
        </w:r>
      </w:hyperlink>
      <w:r>
        <w:rPr>
          <w:rFonts w:ascii="Tahoma"/>
          <w:color w:val="0000FF"/>
          <w:sz w:val="16"/>
        </w:rPr>
        <w:t> </w:t>
      </w:r>
      <w:hyperlink r:id="rId11">
        <w:r>
          <w:rPr>
            <w:rFonts w:ascii="Tahoma"/>
            <w:color w:val="0000FF"/>
            <w:sz w:val="16"/>
            <w:u w:val="single" w:color="0000FF"/>
          </w:rPr>
          <w:t>n0000000000000000000000000044936-english.pdf</w:t>
        </w:r>
      </w:hyperlink>
    </w:p>
    <w:p>
      <w:pPr>
        <w:spacing w:after="0"/>
        <w:jc w:val="left"/>
        <w:rPr>
          <w:rFonts w:ascii="Tahoma"/>
          <w:sz w:val="16"/>
        </w:rPr>
        <w:sectPr>
          <w:pgSz w:w="11910" w:h="16850"/>
          <w:pgMar w:header="0" w:footer="643" w:top="1340" w:bottom="840" w:left="340" w:right="780"/>
        </w:sectPr>
      </w:pPr>
    </w:p>
    <w:p>
      <w:pPr>
        <w:pStyle w:val="BodyText"/>
        <w:spacing w:line="312" w:lineRule="auto" w:before="79"/>
        <w:ind w:left="1930" w:right="633"/>
        <w:jc w:val="both"/>
      </w:pPr>
      <w:r>
        <w:rPr/>
        <w:t>issue in relation to the establishment of the Local Safeguarding Children Boards, with the main area of costs anticipated to arise in the provision of administrative support. This was an issue that was raised during the consultation phase, and which was agreed would be dealt with through guidance.</w:t>
      </w:r>
    </w:p>
    <w:p>
      <w:pPr>
        <w:pStyle w:val="BodyText"/>
        <w:spacing w:before="2"/>
        <w:rPr>
          <w:sz w:val="21"/>
        </w:rPr>
      </w:pPr>
    </w:p>
    <w:p>
      <w:pPr>
        <w:spacing w:line="314" w:lineRule="auto" w:before="0"/>
        <w:ind w:left="1930" w:right="630" w:firstLine="0"/>
        <w:jc w:val="both"/>
        <w:rPr>
          <w:sz w:val="18"/>
        </w:rPr>
      </w:pPr>
      <w:r>
        <w:rPr>
          <w:sz w:val="18"/>
        </w:rPr>
        <w:t>Having reviewed the scrutiny undertaken of the draft legislation by the committee</w:t>
      </w:r>
      <w:r>
        <w:rPr>
          <w:rFonts w:ascii="Tahoma" w:hAnsi="Tahoma"/>
          <w:b/>
          <w:sz w:val="18"/>
          <w:vertAlign w:val="superscript"/>
        </w:rPr>
        <w:t>10</w:t>
      </w:r>
      <w:r>
        <w:rPr>
          <w:sz w:val="18"/>
          <w:vertAlign w:val="baseline"/>
        </w:rPr>
        <w:t>, no discussion was held regarding whether or not the ‘records’ of the individual boards should be</w:t>
      </w:r>
      <w:r>
        <w:rPr>
          <w:spacing w:val="-10"/>
          <w:sz w:val="18"/>
          <w:vertAlign w:val="baseline"/>
        </w:rPr>
        <w:t> </w:t>
      </w:r>
      <w:r>
        <w:rPr>
          <w:sz w:val="18"/>
          <w:vertAlign w:val="baseline"/>
        </w:rPr>
        <w:t>subject</w:t>
      </w:r>
      <w:r>
        <w:rPr>
          <w:spacing w:val="-10"/>
          <w:sz w:val="18"/>
          <w:vertAlign w:val="baseline"/>
        </w:rPr>
        <w:t> </w:t>
      </w:r>
      <w:r>
        <w:rPr>
          <w:sz w:val="18"/>
          <w:vertAlign w:val="baseline"/>
        </w:rPr>
        <w:t>to</w:t>
      </w:r>
      <w:r>
        <w:rPr>
          <w:spacing w:val="-9"/>
          <w:sz w:val="18"/>
          <w:vertAlign w:val="baseline"/>
        </w:rPr>
        <w:t> </w:t>
      </w:r>
      <w:r>
        <w:rPr>
          <w:sz w:val="18"/>
          <w:vertAlign w:val="baseline"/>
        </w:rPr>
        <w:t>the</w:t>
      </w:r>
      <w:r>
        <w:rPr>
          <w:spacing w:val="-10"/>
          <w:sz w:val="18"/>
          <w:vertAlign w:val="baseline"/>
        </w:rPr>
        <w:t> </w:t>
      </w:r>
      <w:r>
        <w:rPr>
          <w:sz w:val="18"/>
          <w:vertAlign w:val="baseline"/>
        </w:rPr>
        <w:t>FOIA.</w:t>
      </w:r>
      <w:r>
        <w:rPr>
          <w:spacing w:val="43"/>
          <w:sz w:val="18"/>
          <w:vertAlign w:val="baseline"/>
        </w:rPr>
        <w:t> </w:t>
      </w:r>
      <w:r>
        <w:rPr>
          <w:sz w:val="18"/>
          <w:vertAlign w:val="baseline"/>
        </w:rPr>
        <w:t>The</w:t>
      </w:r>
      <w:r>
        <w:rPr>
          <w:spacing w:val="-9"/>
          <w:sz w:val="18"/>
          <w:vertAlign w:val="baseline"/>
        </w:rPr>
        <w:t> </w:t>
      </w:r>
      <w:r>
        <w:rPr>
          <w:sz w:val="18"/>
          <w:vertAlign w:val="baseline"/>
        </w:rPr>
        <w:t>Minister</w:t>
      </w:r>
      <w:r>
        <w:rPr>
          <w:spacing w:val="-11"/>
          <w:sz w:val="18"/>
          <w:vertAlign w:val="baseline"/>
        </w:rPr>
        <w:t> </w:t>
      </w:r>
      <w:r>
        <w:rPr>
          <w:sz w:val="18"/>
          <w:vertAlign w:val="baseline"/>
        </w:rPr>
        <w:t>for</w:t>
      </w:r>
      <w:r>
        <w:rPr>
          <w:spacing w:val="-10"/>
          <w:sz w:val="18"/>
          <w:vertAlign w:val="baseline"/>
        </w:rPr>
        <w:t> </w:t>
      </w:r>
      <w:r>
        <w:rPr>
          <w:sz w:val="18"/>
          <w:vertAlign w:val="baseline"/>
        </w:rPr>
        <w:t>Health</w:t>
      </w:r>
      <w:r>
        <w:rPr>
          <w:spacing w:val="-12"/>
          <w:sz w:val="18"/>
          <w:vertAlign w:val="baseline"/>
        </w:rPr>
        <w:t> </w:t>
      </w:r>
      <w:r>
        <w:rPr>
          <w:sz w:val="18"/>
          <w:vertAlign w:val="baseline"/>
        </w:rPr>
        <w:t>and</w:t>
      </w:r>
      <w:r>
        <w:rPr>
          <w:spacing w:val="-9"/>
          <w:sz w:val="18"/>
          <w:vertAlign w:val="baseline"/>
        </w:rPr>
        <w:t> </w:t>
      </w:r>
      <w:r>
        <w:rPr>
          <w:sz w:val="18"/>
          <w:vertAlign w:val="baseline"/>
        </w:rPr>
        <w:t>Social</w:t>
      </w:r>
      <w:r>
        <w:rPr>
          <w:spacing w:val="-10"/>
          <w:sz w:val="18"/>
          <w:vertAlign w:val="baseline"/>
        </w:rPr>
        <w:t> </w:t>
      </w:r>
      <w:r>
        <w:rPr>
          <w:sz w:val="18"/>
          <w:vertAlign w:val="baseline"/>
        </w:rPr>
        <w:t>Services</w:t>
      </w:r>
      <w:r>
        <w:rPr>
          <w:spacing w:val="-10"/>
          <w:sz w:val="18"/>
          <w:vertAlign w:val="baseline"/>
        </w:rPr>
        <w:t> </w:t>
      </w:r>
      <w:r>
        <w:rPr>
          <w:sz w:val="18"/>
          <w:vertAlign w:val="baseline"/>
        </w:rPr>
        <w:t>at</w:t>
      </w:r>
      <w:r>
        <w:rPr>
          <w:spacing w:val="-11"/>
          <w:sz w:val="18"/>
          <w:vertAlign w:val="baseline"/>
        </w:rPr>
        <w:t> </w:t>
      </w:r>
      <w:r>
        <w:rPr>
          <w:sz w:val="18"/>
          <w:vertAlign w:val="baseline"/>
        </w:rPr>
        <w:t>the</w:t>
      </w:r>
      <w:r>
        <w:rPr>
          <w:spacing w:val="-10"/>
          <w:sz w:val="18"/>
          <w:vertAlign w:val="baseline"/>
        </w:rPr>
        <w:t> </w:t>
      </w:r>
      <w:r>
        <w:rPr>
          <w:sz w:val="18"/>
          <w:vertAlign w:val="baseline"/>
        </w:rPr>
        <w:t>time</w:t>
      </w:r>
      <w:r>
        <w:rPr>
          <w:spacing w:val="-5"/>
          <w:sz w:val="18"/>
          <w:vertAlign w:val="baseline"/>
        </w:rPr>
        <w:t> </w:t>
      </w:r>
      <w:r>
        <w:rPr>
          <w:sz w:val="18"/>
          <w:vertAlign w:val="baseline"/>
        </w:rPr>
        <w:t>did</w:t>
      </w:r>
      <w:r>
        <w:rPr>
          <w:spacing w:val="-10"/>
          <w:sz w:val="18"/>
          <w:vertAlign w:val="baseline"/>
        </w:rPr>
        <w:t> </w:t>
      </w:r>
      <w:r>
        <w:rPr>
          <w:sz w:val="18"/>
          <w:vertAlign w:val="baseline"/>
        </w:rPr>
        <w:t>however comment that the outcome of any investigation would be made available at the Local Safeguarding</w:t>
      </w:r>
      <w:r>
        <w:rPr>
          <w:spacing w:val="-17"/>
          <w:sz w:val="18"/>
          <w:vertAlign w:val="baseline"/>
        </w:rPr>
        <w:t> </w:t>
      </w:r>
      <w:r>
        <w:rPr>
          <w:sz w:val="18"/>
          <w:vertAlign w:val="baseline"/>
        </w:rPr>
        <w:t>Children</w:t>
      </w:r>
      <w:r>
        <w:rPr>
          <w:spacing w:val="-19"/>
          <w:sz w:val="18"/>
          <w:vertAlign w:val="baseline"/>
        </w:rPr>
        <w:t> </w:t>
      </w:r>
      <w:r>
        <w:rPr>
          <w:sz w:val="18"/>
          <w:vertAlign w:val="baseline"/>
        </w:rPr>
        <w:t>Board</w:t>
      </w:r>
      <w:r>
        <w:rPr>
          <w:spacing w:val="-14"/>
          <w:sz w:val="18"/>
          <w:vertAlign w:val="baseline"/>
        </w:rPr>
        <w:t> </w:t>
      </w:r>
      <w:r>
        <w:rPr>
          <w:sz w:val="18"/>
          <w:vertAlign w:val="baseline"/>
        </w:rPr>
        <w:t>office,</w:t>
      </w:r>
      <w:r>
        <w:rPr>
          <w:spacing w:val="-18"/>
          <w:sz w:val="18"/>
          <w:vertAlign w:val="baseline"/>
        </w:rPr>
        <w:t> </w:t>
      </w:r>
      <w:r>
        <w:rPr>
          <w:sz w:val="18"/>
          <w:vertAlign w:val="baseline"/>
        </w:rPr>
        <w:t>and</w:t>
      </w:r>
      <w:r>
        <w:rPr>
          <w:spacing w:val="-15"/>
          <w:sz w:val="18"/>
          <w:vertAlign w:val="baseline"/>
        </w:rPr>
        <w:t> </w:t>
      </w:r>
      <w:r>
        <w:rPr>
          <w:sz w:val="18"/>
          <w:vertAlign w:val="baseline"/>
        </w:rPr>
        <w:t>would</w:t>
      </w:r>
      <w:r>
        <w:rPr>
          <w:spacing w:val="-16"/>
          <w:sz w:val="18"/>
          <w:vertAlign w:val="baseline"/>
        </w:rPr>
        <w:t> </w:t>
      </w:r>
      <w:r>
        <w:rPr>
          <w:sz w:val="18"/>
          <w:vertAlign w:val="baseline"/>
        </w:rPr>
        <w:t>be</w:t>
      </w:r>
      <w:r>
        <w:rPr>
          <w:spacing w:val="-17"/>
          <w:sz w:val="18"/>
          <w:vertAlign w:val="baseline"/>
        </w:rPr>
        <w:t> </w:t>
      </w:r>
      <w:r>
        <w:rPr>
          <w:sz w:val="18"/>
          <w:vertAlign w:val="baseline"/>
        </w:rPr>
        <w:t>a</w:t>
      </w:r>
      <w:r>
        <w:rPr>
          <w:spacing w:val="-18"/>
          <w:sz w:val="18"/>
          <w:vertAlign w:val="baseline"/>
        </w:rPr>
        <w:t> </w:t>
      </w:r>
      <w:r>
        <w:rPr>
          <w:sz w:val="18"/>
          <w:vertAlign w:val="baseline"/>
        </w:rPr>
        <w:t>‘</w:t>
      </w:r>
      <w:r>
        <w:rPr>
          <w:i/>
          <w:sz w:val="18"/>
          <w:vertAlign w:val="baseline"/>
        </w:rPr>
        <w:t>public</w:t>
      </w:r>
      <w:r>
        <w:rPr>
          <w:i/>
          <w:spacing w:val="-17"/>
          <w:sz w:val="18"/>
          <w:vertAlign w:val="baseline"/>
        </w:rPr>
        <w:t> </w:t>
      </w:r>
      <w:r>
        <w:rPr>
          <w:i/>
          <w:sz w:val="18"/>
          <w:vertAlign w:val="baseline"/>
        </w:rPr>
        <w:t>domain’</w:t>
      </w:r>
      <w:r>
        <w:rPr>
          <w:i/>
          <w:spacing w:val="-17"/>
          <w:sz w:val="18"/>
          <w:vertAlign w:val="baseline"/>
        </w:rPr>
        <w:t> </w:t>
      </w:r>
      <w:r>
        <w:rPr>
          <w:sz w:val="18"/>
          <w:vertAlign w:val="baseline"/>
        </w:rPr>
        <w:t>document;</w:t>
      </w:r>
      <w:r>
        <w:rPr>
          <w:spacing w:val="-18"/>
          <w:sz w:val="18"/>
          <w:vertAlign w:val="baseline"/>
        </w:rPr>
        <w:t> </w:t>
      </w:r>
      <w:r>
        <w:rPr>
          <w:sz w:val="18"/>
          <w:vertAlign w:val="baseline"/>
        </w:rPr>
        <w:t>he</w:t>
      </w:r>
      <w:r>
        <w:rPr>
          <w:spacing w:val="-16"/>
          <w:sz w:val="18"/>
          <w:vertAlign w:val="baseline"/>
        </w:rPr>
        <w:t> </w:t>
      </w:r>
      <w:r>
        <w:rPr>
          <w:sz w:val="18"/>
          <w:vertAlign w:val="baseline"/>
        </w:rPr>
        <w:t>also</w:t>
      </w:r>
      <w:r>
        <w:rPr>
          <w:spacing w:val="-17"/>
          <w:sz w:val="18"/>
          <w:vertAlign w:val="baseline"/>
        </w:rPr>
        <w:t> </w:t>
      </w:r>
      <w:r>
        <w:rPr>
          <w:sz w:val="18"/>
          <w:vertAlign w:val="baseline"/>
        </w:rPr>
        <w:t>made the point that this document should ‘</w:t>
      </w:r>
      <w:r>
        <w:rPr>
          <w:i/>
          <w:sz w:val="18"/>
          <w:vertAlign w:val="baseline"/>
        </w:rPr>
        <w:t>be made more widely available. It will go to all the organisations that make up the local safeguarding children board. However we would expect</w:t>
      </w:r>
      <w:r>
        <w:rPr>
          <w:i/>
          <w:spacing w:val="-7"/>
          <w:sz w:val="18"/>
          <w:vertAlign w:val="baseline"/>
        </w:rPr>
        <w:t> </w:t>
      </w:r>
      <w:r>
        <w:rPr>
          <w:i/>
          <w:sz w:val="18"/>
          <w:vertAlign w:val="baseline"/>
        </w:rPr>
        <w:t>it</w:t>
      </w:r>
      <w:r>
        <w:rPr>
          <w:i/>
          <w:spacing w:val="-7"/>
          <w:sz w:val="18"/>
          <w:vertAlign w:val="baseline"/>
        </w:rPr>
        <w:t> </w:t>
      </w:r>
      <w:r>
        <w:rPr>
          <w:i/>
          <w:sz w:val="18"/>
          <w:vertAlign w:val="baseline"/>
        </w:rPr>
        <w:t>to</w:t>
      </w:r>
      <w:r>
        <w:rPr>
          <w:i/>
          <w:spacing w:val="-7"/>
          <w:sz w:val="18"/>
          <w:vertAlign w:val="baseline"/>
        </w:rPr>
        <w:t> </w:t>
      </w:r>
      <w:r>
        <w:rPr>
          <w:i/>
          <w:sz w:val="18"/>
          <w:vertAlign w:val="baseline"/>
        </w:rPr>
        <w:t>be</w:t>
      </w:r>
      <w:r>
        <w:rPr>
          <w:i/>
          <w:spacing w:val="-9"/>
          <w:sz w:val="18"/>
          <w:vertAlign w:val="baseline"/>
        </w:rPr>
        <w:t> </w:t>
      </w:r>
      <w:r>
        <w:rPr>
          <w:i/>
          <w:sz w:val="18"/>
          <w:vertAlign w:val="baseline"/>
        </w:rPr>
        <w:t>available</w:t>
      </w:r>
      <w:r>
        <w:rPr>
          <w:i/>
          <w:spacing w:val="-8"/>
          <w:sz w:val="18"/>
          <w:vertAlign w:val="baseline"/>
        </w:rPr>
        <w:t> </w:t>
      </w:r>
      <w:r>
        <w:rPr>
          <w:i/>
          <w:sz w:val="18"/>
          <w:vertAlign w:val="baseline"/>
        </w:rPr>
        <w:t>on</w:t>
      </w:r>
      <w:r>
        <w:rPr>
          <w:i/>
          <w:spacing w:val="-12"/>
          <w:sz w:val="18"/>
          <w:vertAlign w:val="baseline"/>
        </w:rPr>
        <w:t> </w:t>
      </w:r>
      <w:r>
        <w:rPr>
          <w:i/>
          <w:sz w:val="18"/>
          <w:vertAlign w:val="baseline"/>
        </w:rPr>
        <w:t>the</w:t>
      </w:r>
      <w:r>
        <w:rPr>
          <w:i/>
          <w:spacing w:val="-7"/>
          <w:sz w:val="18"/>
          <w:vertAlign w:val="baseline"/>
        </w:rPr>
        <w:t> </w:t>
      </w:r>
      <w:r>
        <w:rPr>
          <w:i/>
          <w:sz w:val="18"/>
          <w:vertAlign w:val="baseline"/>
        </w:rPr>
        <w:t>internet</w:t>
      </w:r>
      <w:r>
        <w:rPr>
          <w:i/>
          <w:spacing w:val="-9"/>
          <w:sz w:val="18"/>
          <w:vertAlign w:val="baseline"/>
        </w:rPr>
        <w:t> </w:t>
      </w:r>
      <w:r>
        <w:rPr>
          <w:i/>
          <w:sz w:val="18"/>
          <w:vertAlign w:val="baseline"/>
        </w:rPr>
        <w:t>as</w:t>
      </w:r>
      <w:r>
        <w:rPr>
          <w:i/>
          <w:spacing w:val="-8"/>
          <w:sz w:val="18"/>
          <w:vertAlign w:val="baseline"/>
        </w:rPr>
        <w:t> </w:t>
      </w:r>
      <w:r>
        <w:rPr>
          <w:i/>
          <w:sz w:val="18"/>
          <w:vertAlign w:val="baseline"/>
        </w:rPr>
        <w:t>the</w:t>
      </w:r>
      <w:r>
        <w:rPr>
          <w:i/>
          <w:spacing w:val="-7"/>
          <w:sz w:val="18"/>
          <w:vertAlign w:val="baseline"/>
        </w:rPr>
        <w:t> </w:t>
      </w:r>
      <w:r>
        <w:rPr>
          <w:i/>
          <w:sz w:val="18"/>
          <w:vertAlign w:val="baseline"/>
        </w:rPr>
        <w:t>system</w:t>
      </w:r>
      <w:r>
        <w:rPr>
          <w:i/>
          <w:spacing w:val="-11"/>
          <w:sz w:val="18"/>
          <w:vertAlign w:val="baseline"/>
        </w:rPr>
        <w:t> </w:t>
      </w:r>
      <w:r>
        <w:rPr>
          <w:i/>
          <w:sz w:val="18"/>
          <w:vertAlign w:val="baseline"/>
        </w:rPr>
        <w:t>matures’</w:t>
      </w:r>
      <w:r>
        <w:rPr>
          <w:sz w:val="18"/>
          <w:vertAlign w:val="baseline"/>
        </w:rPr>
        <w:t>.</w:t>
      </w:r>
      <w:r>
        <w:rPr>
          <w:spacing w:val="47"/>
          <w:sz w:val="18"/>
          <w:vertAlign w:val="baseline"/>
        </w:rPr>
        <w:t> </w:t>
      </w:r>
      <w:r>
        <w:rPr>
          <w:sz w:val="18"/>
          <w:vertAlign w:val="baseline"/>
        </w:rPr>
        <w:t>This</w:t>
      </w:r>
      <w:r>
        <w:rPr>
          <w:spacing w:val="-8"/>
          <w:sz w:val="18"/>
          <w:vertAlign w:val="baseline"/>
        </w:rPr>
        <w:t> </w:t>
      </w:r>
      <w:r>
        <w:rPr>
          <w:sz w:val="18"/>
          <w:vertAlign w:val="baseline"/>
        </w:rPr>
        <w:t>is</w:t>
      </w:r>
      <w:r>
        <w:rPr>
          <w:spacing w:val="-7"/>
          <w:sz w:val="18"/>
          <w:vertAlign w:val="baseline"/>
        </w:rPr>
        <w:t> </w:t>
      </w:r>
      <w:r>
        <w:rPr>
          <w:sz w:val="18"/>
          <w:vertAlign w:val="baseline"/>
        </w:rPr>
        <w:t>consistent</w:t>
      </w:r>
      <w:r>
        <w:rPr>
          <w:spacing w:val="-7"/>
          <w:sz w:val="18"/>
          <w:vertAlign w:val="baseline"/>
        </w:rPr>
        <w:t> </w:t>
      </w:r>
      <w:r>
        <w:rPr>
          <w:sz w:val="18"/>
          <w:vertAlign w:val="baseline"/>
        </w:rPr>
        <w:t>with</w:t>
      </w:r>
      <w:r>
        <w:rPr>
          <w:spacing w:val="-9"/>
          <w:sz w:val="18"/>
          <w:vertAlign w:val="baseline"/>
        </w:rPr>
        <w:t> </w:t>
      </w:r>
      <w:r>
        <w:rPr>
          <w:sz w:val="18"/>
          <w:vertAlign w:val="baseline"/>
        </w:rPr>
        <w:t>the provisions of Regulation</w:t>
      </w:r>
      <w:r>
        <w:rPr>
          <w:spacing w:val="-6"/>
          <w:sz w:val="18"/>
          <w:vertAlign w:val="baseline"/>
        </w:rPr>
        <w:t> </w:t>
      </w:r>
      <w:r>
        <w:rPr>
          <w:sz w:val="18"/>
          <w:vertAlign w:val="baseline"/>
        </w:rPr>
        <w:t>4.</w:t>
      </w:r>
    </w:p>
    <w:p>
      <w:pPr>
        <w:pStyle w:val="BodyText"/>
        <w:spacing w:before="8"/>
        <w:rPr>
          <w:sz w:val="20"/>
        </w:rPr>
      </w:pPr>
    </w:p>
    <w:p>
      <w:pPr>
        <w:pStyle w:val="BodyText"/>
        <w:spacing w:line="314" w:lineRule="auto"/>
        <w:ind w:left="1930" w:right="634"/>
        <w:jc w:val="both"/>
      </w:pPr>
      <w:r>
        <w:rPr/>
        <w:t>The guidance subsequently issued by Welsh Government</w:t>
      </w:r>
      <w:r>
        <w:rPr>
          <w:rFonts w:ascii="Tahoma"/>
          <w:b/>
          <w:vertAlign w:val="superscript"/>
        </w:rPr>
        <w:t>11</w:t>
      </w:r>
      <w:r>
        <w:rPr>
          <w:rFonts w:ascii="Tahoma"/>
          <w:b/>
          <w:vertAlign w:val="baseline"/>
        </w:rPr>
        <w:t> </w:t>
      </w:r>
      <w:r>
        <w:rPr>
          <w:vertAlign w:val="baseline"/>
        </w:rPr>
        <w:t>provides further details regarding the operation of the Local Safeguarding Children Boards, specifically financing and administration. Again, there is no reference to all records being within the scope of the FOIA, merely to arrangements being in place (specifically funding from each local authority) for each board to be able to function</w:t>
      </w:r>
      <w:r>
        <w:rPr>
          <w:spacing w:val="-13"/>
          <w:vertAlign w:val="baseline"/>
        </w:rPr>
        <w:t> </w:t>
      </w:r>
      <w:r>
        <w:rPr>
          <w:vertAlign w:val="baseline"/>
        </w:rPr>
        <w:t>effectively.</w:t>
      </w:r>
    </w:p>
    <w:p>
      <w:pPr>
        <w:pStyle w:val="BodyText"/>
        <w:spacing w:before="9"/>
        <w:rPr>
          <w:sz w:val="19"/>
        </w:rPr>
      </w:pPr>
    </w:p>
    <w:p>
      <w:pPr>
        <w:pStyle w:val="BodyText"/>
        <w:spacing w:line="312" w:lineRule="auto"/>
        <w:ind w:left="1930" w:right="630"/>
        <w:jc w:val="both"/>
      </w:pPr>
      <w:r>
        <w:rPr/>
        <w:t>In our view, regulation 7(2) does not bring all of the records of the Local Safeguarding Children’s Board within the scope of FOIA. In our view this regulation was intended to reflect the need for administrative services, including record keeping services, to be provided by the relevant local authority in a manner consistent with their own, albeit that the wording is clearly subject to interpretation. Given that the 2015 Regulations also contain no equivalent provision to regulation 7(2) we infer that this was an anomaly which has now been corrected. Even if we are wrong in this interpretation, in our view the reference to ‘records’ would not include serious case reviews and their reports which are dealt with distinctly as part of regulation 4.</w:t>
      </w:r>
    </w:p>
    <w:p>
      <w:pPr>
        <w:pStyle w:val="BodyText"/>
        <w:spacing w:before="10"/>
        <w:rPr>
          <w:sz w:val="19"/>
        </w:rPr>
      </w:pPr>
    </w:p>
    <w:p>
      <w:pPr>
        <w:pStyle w:val="BodyText"/>
        <w:spacing w:line="328" w:lineRule="auto" w:before="1"/>
        <w:ind w:left="1930" w:right="631"/>
        <w:jc w:val="both"/>
        <w:rPr>
          <w:rFonts w:ascii="Tahoma"/>
          <w:b/>
        </w:rPr>
      </w:pPr>
      <w:r>
        <w:rPr/>
        <w:t>The Children Act 2004 underpinned </w:t>
      </w:r>
      <w:r>
        <w:rPr>
          <w:u w:val="single"/>
        </w:rPr>
        <w:t>both</w:t>
      </w:r>
      <w:r>
        <w:rPr/>
        <w:t> sets of regulations, establishing Safeguarding Boards in both jurisdictions; sections 13-14</w:t>
      </w:r>
      <w:r>
        <w:rPr>
          <w:rFonts w:ascii="Tahoma"/>
          <w:b/>
          <w:vertAlign w:val="superscript"/>
        </w:rPr>
        <w:t>12</w:t>
      </w:r>
      <w:r>
        <w:rPr>
          <w:rFonts w:ascii="Tahoma"/>
          <w:b/>
          <w:vertAlign w:val="baseline"/>
        </w:rPr>
        <w:t> </w:t>
      </w:r>
      <w:r>
        <w:rPr>
          <w:vertAlign w:val="baseline"/>
        </w:rPr>
        <w:t>of that Act applied to England, and sections 31-32</w:t>
      </w:r>
      <w:r>
        <w:rPr>
          <w:rFonts w:ascii="Tahoma"/>
          <w:b/>
          <w:vertAlign w:val="superscript"/>
        </w:rPr>
        <w:t>13</w:t>
      </w:r>
      <w:r>
        <w:rPr>
          <w:rFonts w:ascii="Tahoma"/>
          <w:b/>
          <w:vertAlign w:val="baseline"/>
        </w:rPr>
        <w:t> </w:t>
      </w:r>
      <w:r>
        <w:rPr>
          <w:vertAlign w:val="baseline"/>
        </w:rPr>
        <w:t>to Wales. Both of these provisions are materially identical. Whilst the regime in Wales has since been superceded by the Social Services and Well-being Act (Wales) Act 2014, which established RSBs in place of predecessor local safeguarding children boards, by analogy, the same principles are likely to apply in the case of</w:t>
      </w:r>
      <w:r>
        <w:rPr>
          <w:spacing w:val="56"/>
          <w:vertAlign w:val="baseline"/>
        </w:rPr>
        <w:t> </w:t>
      </w:r>
      <w:r>
        <w:rPr>
          <w:vertAlign w:val="baseline"/>
        </w:rPr>
        <w:t>RSBs.</w:t>
      </w:r>
      <w:r>
        <w:rPr>
          <w:rFonts w:ascii="Tahoma"/>
          <w:b/>
          <w:vertAlign w:val="superscript"/>
        </w:rPr>
        <w:t>14</w:t>
      </w:r>
    </w:p>
    <w:p>
      <w:pPr>
        <w:pStyle w:val="BodyText"/>
        <w:spacing w:before="7"/>
        <w:rPr>
          <w:rFonts w:ascii="Tahoma"/>
          <w:b/>
          <w:sz w:val="19"/>
        </w:rPr>
      </w:pPr>
    </w:p>
    <w:p>
      <w:pPr>
        <w:pStyle w:val="BodyText"/>
        <w:spacing w:line="328" w:lineRule="auto"/>
        <w:ind w:left="1930" w:right="634"/>
        <w:jc w:val="both"/>
      </w:pPr>
      <w:r>
        <w:rPr/>
        <w:t>If so, this would mean that RSBs are to be treated as a legal person (“another person”) for the purpose of section 3(2)</w:t>
      </w:r>
      <w:r>
        <w:rPr>
          <w:spacing w:val="-4"/>
        </w:rPr>
        <w:t> </w:t>
      </w:r>
      <w:r>
        <w:rPr/>
        <w:t>FOIA</w:t>
      </w:r>
      <w:r>
        <w:rPr>
          <w:rFonts w:ascii="Tahoma" w:hAnsi="Tahoma"/>
          <w:b/>
          <w:vertAlign w:val="superscript"/>
        </w:rPr>
        <w:t>15</w:t>
      </w:r>
      <w:r>
        <w:rPr>
          <w:vertAlign w:val="baseline"/>
        </w:rPr>
        <w:t>.</w:t>
      </w:r>
    </w:p>
    <w:p>
      <w:pPr>
        <w:pStyle w:val="BodyText"/>
        <w:rPr>
          <w:sz w:val="28"/>
        </w:rPr>
      </w:pPr>
      <w:r>
        <w:rPr/>
        <w:pict>
          <v:rect style="position:absolute;margin-left:70.944pt;margin-top:18.972549pt;width:144.020pt;height:.47998pt;mso-position-horizontal-relative:page;mso-position-vertical-relative:paragraph;z-index:-15725568;mso-wrap-distance-left:0;mso-wrap-distance-right:0" filled="true" fillcolor="#000000" stroked="false">
            <v:fill type="solid"/>
            <w10:wrap type="topAndBottom"/>
          </v:rect>
        </w:pict>
      </w:r>
    </w:p>
    <w:p>
      <w:pPr>
        <w:pStyle w:val="ListParagraph"/>
        <w:numPr>
          <w:ilvl w:val="0"/>
          <w:numId w:val="6"/>
        </w:numPr>
        <w:tabs>
          <w:tab w:pos="1930" w:val="left" w:leader="none"/>
          <w:tab w:pos="1931" w:val="left" w:leader="none"/>
        </w:tabs>
        <w:spacing w:line="240" w:lineRule="auto" w:before="56" w:after="0"/>
        <w:ind w:left="1930" w:right="0" w:hanging="853"/>
        <w:jc w:val="left"/>
        <w:rPr>
          <w:rFonts w:ascii="Tahoma"/>
          <w:sz w:val="16"/>
        </w:rPr>
      </w:pPr>
      <w:r>
        <w:rPr>
          <w:rFonts w:ascii="Tahoma"/>
          <w:sz w:val="16"/>
        </w:rPr>
        <w:t>The Health and Social Services Committee, 11 May</w:t>
      </w:r>
      <w:r>
        <w:rPr>
          <w:rFonts w:ascii="Tahoma"/>
          <w:spacing w:val="-9"/>
          <w:sz w:val="16"/>
        </w:rPr>
        <w:t> </w:t>
      </w:r>
      <w:r>
        <w:rPr>
          <w:rFonts w:ascii="Tahoma"/>
          <w:sz w:val="16"/>
        </w:rPr>
        <w:t>2006</w:t>
      </w:r>
    </w:p>
    <w:p>
      <w:pPr>
        <w:pStyle w:val="ListParagraph"/>
        <w:numPr>
          <w:ilvl w:val="0"/>
          <w:numId w:val="6"/>
        </w:numPr>
        <w:tabs>
          <w:tab w:pos="1930" w:val="left" w:leader="none"/>
          <w:tab w:pos="1931" w:val="left" w:leader="none"/>
        </w:tabs>
        <w:spacing w:line="240" w:lineRule="auto" w:before="70" w:after="0"/>
        <w:ind w:left="1930" w:right="0" w:hanging="853"/>
        <w:jc w:val="left"/>
        <w:rPr>
          <w:rFonts w:ascii="Tahoma"/>
          <w:sz w:val="16"/>
        </w:rPr>
      </w:pPr>
      <w:r>
        <w:rPr>
          <w:rFonts w:ascii="Tahoma"/>
          <w:sz w:val="16"/>
        </w:rPr>
        <w:t>Safeguarding Children: Working Together under the Children Act</w:t>
      </w:r>
      <w:r>
        <w:rPr>
          <w:rFonts w:ascii="Tahoma"/>
          <w:spacing w:val="-5"/>
          <w:sz w:val="16"/>
        </w:rPr>
        <w:t> </w:t>
      </w:r>
      <w:r>
        <w:rPr>
          <w:rFonts w:ascii="Tahoma"/>
          <w:sz w:val="16"/>
        </w:rPr>
        <w:t>2004</w:t>
      </w:r>
    </w:p>
    <w:p>
      <w:pPr>
        <w:pStyle w:val="ListParagraph"/>
        <w:numPr>
          <w:ilvl w:val="0"/>
          <w:numId w:val="6"/>
        </w:numPr>
        <w:tabs>
          <w:tab w:pos="1930" w:val="left" w:leader="none"/>
          <w:tab w:pos="1931" w:val="left" w:leader="none"/>
        </w:tabs>
        <w:spacing w:line="240" w:lineRule="auto" w:before="69" w:after="0"/>
        <w:ind w:left="1930" w:right="0" w:hanging="853"/>
        <w:jc w:val="left"/>
        <w:rPr>
          <w:rFonts w:ascii="Tahoma" w:hAnsi="Tahoma"/>
          <w:sz w:val="16"/>
        </w:rPr>
      </w:pPr>
      <w:r>
        <w:rPr>
          <w:rFonts w:ascii="Tahoma" w:hAnsi="Tahoma"/>
          <w:sz w:val="16"/>
        </w:rPr>
        <w:t>Since repealed by the Children and Social Work Act 2017 following the abolition of LCSB’s in</w:t>
      </w:r>
      <w:r>
        <w:rPr>
          <w:rFonts w:ascii="Tahoma" w:hAnsi="Tahoma"/>
          <w:spacing w:val="-16"/>
          <w:sz w:val="16"/>
        </w:rPr>
        <w:t> </w:t>
      </w:r>
      <w:r>
        <w:rPr>
          <w:rFonts w:ascii="Tahoma" w:hAnsi="Tahoma"/>
          <w:sz w:val="16"/>
        </w:rPr>
        <w:t>England</w:t>
      </w:r>
    </w:p>
    <w:p>
      <w:pPr>
        <w:pStyle w:val="ListParagraph"/>
        <w:numPr>
          <w:ilvl w:val="0"/>
          <w:numId w:val="6"/>
        </w:numPr>
        <w:tabs>
          <w:tab w:pos="1930" w:val="left" w:leader="none"/>
          <w:tab w:pos="1931" w:val="left" w:leader="none"/>
        </w:tabs>
        <w:spacing w:line="240" w:lineRule="auto" w:before="67" w:after="0"/>
        <w:ind w:left="1930" w:right="0" w:hanging="853"/>
        <w:jc w:val="left"/>
        <w:rPr>
          <w:rFonts w:ascii="Tahoma"/>
          <w:sz w:val="16"/>
        </w:rPr>
      </w:pPr>
      <w:r>
        <w:rPr>
          <w:rFonts w:ascii="Tahoma"/>
          <w:sz w:val="16"/>
        </w:rPr>
        <w:t>Repealed by Social Services and Well-being (Wales) Act 2014 (Consequential Amendments) Regulations</w:t>
      </w:r>
      <w:r>
        <w:rPr>
          <w:rFonts w:ascii="Tahoma"/>
          <w:spacing w:val="-17"/>
          <w:sz w:val="16"/>
        </w:rPr>
        <w:t> </w:t>
      </w:r>
      <w:r>
        <w:rPr>
          <w:rFonts w:ascii="Tahoma"/>
          <w:sz w:val="16"/>
        </w:rPr>
        <w:t>2016/413</w:t>
      </w:r>
    </w:p>
    <w:p>
      <w:pPr>
        <w:pStyle w:val="ListParagraph"/>
        <w:numPr>
          <w:ilvl w:val="0"/>
          <w:numId w:val="6"/>
        </w:numPr>
        <w:tabs>
          <w:tab w:pos="1930" w:val="left" w:leader="none"/>
          <w:tab w:pos="1931" w:val="left" w:leader="none"/>
        </w:tabs>
        <w:spacing w:line="240" w:lineRule="auto" w:before="69" w:after="0"/>
        <w:ind w:left="1930" w:right="0" w:hanging="853"/>
        <w:jc w:val="left"/>
        <w:rPr>
          <w:rFonts w:ascii="Tahoma"/>
          <w:sz w:val="16"/>
        </w:rPr>
      </w:pPr>
      <w:r>
        <w:rPr>
          <w:rFonts w:ascii="Tahoma"/>
          <w:sz w:val="16"/>
        </w:rPr>
        <w:t>RSBs would, in any event, be able to rely on the exemptions under Part II,</w:t>
      </w:r>
      <w:r>
        <w:rPr>
          <w:rFonts w:ascii="Tahoma"/>
          <w:spacing w:val="-11"/>
          <w:sz w:val="16"/>
        </w:rPr>
        <w:t> </w:t>
      </w:r>
      <w:r>
        <w:rPr>
          <w:rFonts w:ascii="Tahoma"/>
          <w:sz w:val="16"/>
        </w:rPr>
        <w:t>FOIA</w:t>
      </w:r>
    </w:p>
    <w:p>
      <w:pPr>
        <w:pStyle w:val="ListParagraph"/>
        <w:numPr>
          <w:ilvl w:val="0"/>
          <w:numId w:val="6"/>
        </w:numPr>
        <w:tabs>
          <w:tab w:pos="1930" w:val="left" w:leader="none"/>
          <w:tab w:pos="1931" w:val="left" w:leader="none"/>
        </w:tabs>
        <w:spacing w:line="244" w:lineRule="auto" w:before="67" w:after="0"/>
        <w:ind w:left="1930" w:right="636" w:hanging="852"/>
        <w:jc w:val="both"/>
        <w:rPr>
          <w:rFonts w:ascii="Tahoma" w:hAnsi="Tahoma"/>
          <w:sz w:val="16"/>
        </w:rPr>
      </w:pPr>
      <w:r>
        <w:rPr>
          <w:rFonts w:ascii="Tahoma" w:hAnsi="Tahoma"/>
          <w:sz w:val="16"/>
        </w:rPr>
        <w:t>Save for where RSBs are otherwise required to disclose documentation in accordance with their statutory duties, for example, making ‘practice review report[s] publicly available’ pursuant to regulation 4(5)(I) of the Safeguarding Boards (Functions and Procedures) (Wales) Regulations</w:t>
      </w:r>
      <w:r>
        <w:rPr>
          <w:rFonts w:ascii="Tahoma" w:hAnsi="Tahoma"/>
          <w:spacing w:val="-2"/>
          <w:sz w:val="16"/>
        </w:rPr>
        <w:t> </w:t>
      </w:r>
      <w:r>
        <w:rPr>
          <w:rFonts w:ascii="Tahoma" w:hAnsi="Tahoma"/>
          <w:sz w:val="16"/>
        </w:rPr>
        <w:t>2015.</w:t>
      </w:r>
    </w:p>
    <w:p>
      <w:pPr>
        <w:spacing w:after="0" w:line="244" w:lineRule="auto"/>
        <w:jc w:val="both"/>
        <w:rPr>
          <w:rFonts w:ascii="Tahoma" w:hAnsi="Tahoma"/>
          <w:sz w:val="16"/>
        </w:rPr>
        <w:sectPr>
          <w:pgSz w:w="11910" w:h="16850"/>
          <w:pgMar w:header="0" w:footer="643" w:top="1340" w:bottom="840" w:left="340" w:right="780"/>
        </w:sectPr>
      </w:pPr>
    </w:p>
    <w:p>
      <w:pPr>
        <w:pStyle w:val="BodyText"/>
        <w:spacing w:line="312" w:lineRule="auto" w:before="79"/>
        <w:ind w:left="1930" w:right="628"/>
        <w:jc w:val="both"/>
      </w:pPr>
      <w:r>
        <w:rPr/>
        <w:t>Presumably </w:t>
      </w:r>
      <w:r>
        <w:rPr>
          <w:spacing w:val="-3"/>
        </w:rPr>
        <w:t>therefore, </w:t>
      </w:r>
      <w:r>
        <w:rPr>
          <w:spacing w:val="-2"/>
        </w:rPr>
        <w:t>the </w:t>
      </w:r>
      <w:r>
        <w:rPr/>
        <w:t>information provided by RSBs to the </w:t>
      </w:r>
      <w:r>
        <w:rPr>
          <w:spacing w:val="-3"/>
        </w:rPr>
        <w:t>NISB </w:t>
      </w:r>
      <w:r>
        <w:rPr/>
        <w:t>(which is a public authority for the purposes of the FOIA) under section 139(1) of the Act, does not amount to</w:t>
      </w:r>
      <w:r>
        <w:rPr>
          <w:spacing w:val="-14"/>
        </w:rPr>
        <w:t> </w:t>
      </w:r>
      <w:r>
        <w:rPr/>
        <w:t>information</w:t>
      </w:r>
      <w:r>
        <w:rPr>
          <w:spacing w:val="-14"/>
        </w:rPr>
        <w:t> </w:t>
      </w:r>
      <w:r>
        <w:rPr/>
        <w:t>held</w:t>
      </w:r>
      <w:r>
        <w:rPr>
          <w:spacing w:val="-11"/>
        </w:rPr>
        <w:t> </w:t>
      </w:r>
      <w:r>
        <w:rPr/>
        <w:t>by</w:t>
      </w:r>
      <w:r>
        <w:rPr>
          <w:spacing w:val="-10"/>
        </w:rPr>
        <w:t> </w:t>
      </w:r>
      <w:r>
        <w:rPr/>
        <w:t>that</w:t>
      </w:r>
      <w:r>
        <w:rPr>
          <w:spacing w:val="-11"/>
        </w:rPr>
        <w:t> </w:t>
      </w:r>
      <w:r>
        <w:rPr/>
        <w:t>public</w:t>
      </w:r>
      <w:r>
        <w:rPr>
          <w:spacing w:val="-13"/>
        </w:rPr>
        <w:t> </w:t>
      </w:r>
      <w:r>
        <w:rPr/>
        <w:t>authority</w:t>
      </w:r>
      <w:r>
        <w:rPr>
          <w:spacing w:val="-15"/>
        </w:rPr>
        <w:t> </w:t>
      </w:r>
      <w:r>
        <w:rPr/>
        <w:t>in</w:t>
      </w:r>
      <w:r>
        <w:rPr>
          <w:spacing w:val="-14"/>
        </w:rPr>
        <w:t> </w:t>
      </w:r>
      <w:r>
        <w:rPr/>
        <w:t>accordance</w:t>
      </w:r>
      <w:r>
        <w:rPr>
          <w:spacing w:val="-12"/>
        </w:rPr>
        <w:t> </w:t>
      </w:r>
      <w:r>
        <w:rPr/>
        <w:t>with</w:t>
      </w:r>
      <w:r>
        <w:rPr>
          <w:spacing w:val="-13"/>
        </w:rPr>
        <w:t> </w:t>
      </w:r>
      <w:r>
        <w:rPr/>
        <w:t>section</w:t>
      </w:r>
      <w:r>
        <w:rPr>
          <w:spacing w:val="-16"/>
        </w:rPr>
        <w:t> </w:t>
      </w:r>
      <w:r>
        <w:rPr/>
        <w:t>3,</w:t>
      </w:r>
      <w:r>
        <w:rPr>
          <w:spacing w:val="-15"/>
        </w:rPr>
        <w:t> </w:t>
      </w:r>
      <w:r>
        <w:rPr/>
        <w:t>FOIA.</w:t>
      </w:r>
      <w:r>
        <w:rPr>
          <w:spacing w:val="34"/>
        </w:rPr>
        <w:t> </w:t>
      </w:r>
      <w:r>
        <w:rPr/>
        <w:t>Information held by a Safeguarding Board partner is being held on behalf of the third party RSB, such that the information is outside the scope of the</w:t>
      </w:r>
      <w:r>
        <w:rPr>
          <w:spacing w:val="-33"/>
        </w:rPr>
        <w:t> </w:t>
      </w:r>
      <w:r>
        <w:rPr/>
        <w:t>FOIA.</w:t>
      </w:r>
    </w:p>
    <w:p>
      <w:pPr>
        <w:pStyle w:val="BodyText"/>
        <w:spacing w:before="8"/>
        <w:rPr>
          <w:sz w:val="19"/>
        </w:rPr>
      </w:pPr>
    </w:p>
    <w:p>
      <w:pPr>
        <w:pStyle w:val="BodyText"/>
        <w:spacing w:line="324" w:lineRule="auto"/>
        <w:ind w:left="1930" w:right="630"/>
        <w:jc w:val="both"/>
      </w:pPr>
      <w:r>
        <w:rPr/>
        <w:t>The</w:t>
      </w:r>
      <w:r>
        <w:rPr>
          <w:spacing w:val="-6"/>
        </w:rPr>
        <w:t> </w:t>
      </w:r>
      <w:r>
        <w:rPr/>
        <w:t>Safeguarding</w:t>
      </w:r>
      <w:r>
        <w:rPr>
          <w:spacing w:val="-5"/>
        </w:rPr>
        <w:t> </w:t>
      </w:r>
      <w:r>
        <w:rPr/>
        <w:t>Boards</w:t>
      </w:r>
      <w:r>
        <w:rPr>
          <w:spacing w:val="-7"/>
        </w:rPr>
        <w:t> </w:t>
      </w:r>
      <w:r>
        <w:rPr/>
        <w:t>(Functions</w:t>
      </w:r>
      <w:r>
        <w:rPr>
          <w:spacing w:val="-8"/>
        </w:rPr>
        <w:t> </w:t>
      </w:r>
      <w:r>
        <w:rPr/>
        <w:t>and</w:t>
      </w:r>
      <w:r>
        <w:rPr>
          <w:spacing w:val="-5"/>
        </w:rPr>
        <w:t> </w:t>
      </w:r>
      <w:r>
        <w:rPr/>
        <w:t>Procedures)</w:t>
      </w:r>
      <w:r>
        <w:rPr>
          <w:spacing w:val="-9"/>
        </w:rPr>
        <w:t> </w:t>
      </w:r>
      <w:r>
        <w:rPr/>
        <w:t>(Wales)</w:t>
      </w:r>
      <w:r>
        <w:rPr>
          <w:spacing w:val="-6"/>
        </w:rPr>
        <w:t> </w:t>
      </w:r>
      <w:r>
        <w:rPr/>
        <w:t>Regulations</w:t>
      </w:r>
      <w:r>
        <w:rPr>
          <w:spacing w:val="-6"/>
        </w:rPr>
        <w:t> </w:t>
      </w:r>
      <w:r>
        <w:rPr/>
        <w:t>2015</w:t>
      </w:r>
      <w:r>
        <w:rPr>
          <w:spacing w:val="-3"/>
        </w:rPr>
        <w:t> </w:t>
      </w:r>
      <w:r>
        <w:rPr/>
        <w:t>have</w:t>
      </w:r>
      <w:r>
        <w:rPr>
          <w:spacing w:val="-5"/>
        </w:rPr>
        <w:t> </w:t>
      </w:r>
      <w:r>
        <w:rPr/>
        <w:t>since come into force along with the Safeguarding Boards (General) (Wales) Regulations 2015, the 2006 Welsh Regulations having since been repealed. The former Regulations now deal with the functions</w:t>
      </w:r>
      <w:r>
        <w:rPr>
          <w:rFonts w:ascii="Tahoma" w:hAnsi="Tahoma"/>
          <w:b/>
          <w:vertAlign w:val="superscript"/>
        </w:rPr>
        <w:t>16</w:t>
      </w:r>
      <w:r>
        <w:rPr>
          <w:rFonts w:ascii="Tahoma" w:hAnsi="Tahoma"/>
          <w:b/>
          <w:vertAlign w:val="baseline"/>
        </w:rPr>
        <w:t> </w:t>
      </w:r>
      <w:r>
        <w:rPr>
          <w:vertAlign w:val="baseline"/>
        </w:rPr>
        <w:t>of Safeguarding Boards and the requirement to undertake practice reviews</w:t>
      </w:r>
      <w:r>
        <w:rPr>
          <w:rFonts w:ascii="Tahoma" w:hAnsi="Tahoma"/>
          <w:b/>
          <w:vertAlign w:val="superscript"/>
        </w:rPr>
        <w:t>17</w:t>
      </w:r>
      <w:r>
        <w:rPr>
          <w:vertAlign w:val="baseline"/>
        </w:rPr>
        <w:t>. There is also an obligation on each RSB (whether it be a Safeguarding Children Board</w:t>
      </w:r>
      <w:r>
        <w:rPr>
          <w:spacing w:val="-21"/>
          <w:vertAlign w:val="baseline"/>
        </w:rPr>
        <w:t> </w:t>
      </w:r>
      <w:r>
        <w:rPr>
          <w:vertAlign w:val="baseline"/>
        </w:rPr>
        <w:t>or</w:t>
      </w:r>
      <w:r>
        <w:rPr>
          <w:spacing w:val="-22"/>
          <w:vertAlign w:val="baseline"/>
        </w:rPr>
        <w:t> </w:t>
      </w:r>
      <w:r>
        <w:rPr>
          <w:vertAlign w:val="baseline"/>
        </w:rPr>
        <w:t>a</w:t>
      </w:r>
      <w:r>
        <w:rPr>
          <w:spacing w:val="-19"/>
          <w:vertAlign w:val="baseline"/>
        </w:rPr>
        <w:t> </w:t>
      </w:r>
      <w:r>
        <w:rPr>
          <w:vertAlign w:val="baseline"/>
        </w:rPr>
        <w:t>Safeguarding</w:t>
      </w:r>
      <w:r>
        <w:rPr>
          <w:spacing w:val="-19"/>
          <w:vertAlign w:val="baseline"/>
        </w:rPr>
        <w:t> </w:t>
      </w:r>
      <w:r>
        <w:rPr>
          <w:vertAlign w:val="baseline"/>
        </w:rPr>
        <w:t>Adult</w:t>
      </w:r>
      <w:r>
        <w:rPr>
          <w:spacing w:val="-19"/>
          <w:vertAlign w:val="baseline"/>
        </w:rPr>
        <w:t> </w:t>
      </w:r>
      <w:r>
        <w:rPr>
          <w:vertAlign w:val="baseline"/>
        </w:rPr>
        <w:t>Board)</w:t>
      </w:r>
      <w:r>
        <w:rPr>
          <w:spacing w:val="-17"/>
          <w:vertAlign w:val="baseline"/>
        </w:rPr>
        <w:t> </w:t>
      </w:r>
      <w:r>
        <w:rPr>
          <w:vertAlign w:val="baseline"/>
        </w:rPr>
        <w:t>when</w:t>
      </w:r>
      <w:r>
        <w:rPr>
          <w:spacing w:val="-20"/>
          <w:vertAlign w:val="baseline"/>
        </w:rPr>
        <w:t> </w:t>
      </w:r>
      <w:r>
        <w:rPr>
          <w:vertAlign w:val="baseline"/>
        </w:rPr>
        <w:t>undertaking</w:t>
      </w:r>
      <w:r>
        <w:rPr>
          <w:spacing w:val="-19"/>
          <w:vertAlign w:val="baseline"/>
        </w:rPr>
        <w:t> </w:t>
      </w:r>
      <w:r>
        <w:rPr>
          <w:vertAlign w:val="baseline"/>
        </w:rPr>
        <w:t>a</w:t>
      </w:r>
      <w:r>
        <w:rPr>
          <w:spacing w:val="-19"/>
          <w:vertAlign w:val="baseline"/>
        </w:rPr>
        <w:t> </w:t>
      </w:r>
      <w:r>
        <w:rPr>
          <w:vertAlign w:val="baseline"/>
        </w:rPr>
        <w:t>practice</w:t>
      </w:r>
      <w:r>
        <w:rPr>
          <w:spacing w:val="-20"/>
          <w:vertAlign w:val="baseline"/>
        </w:rPr>
        <w:t> </w:t>
      </w:r>
      <w:r>
        <w:rPr>
          <w:vertAlign w:val="baseline"/>
        </w:rPr>
        <w:t>review</w:t>
      </w:r>
      <w:r>
        <w:rPr>
          <w:spacing w:val="-22"/>
          <w:vertAlign w:val="baseline"/>
        </w:rPr>
        <w:t> </w:t>
      </w:r>
      <w:r>
        <w:rPr>
          <w:vertAlign w:val="baseline"/>
        </w:rPr>
        <w:t>to</w:t>
      </w:r>
      <w:r>
        <w:rPr>
          <w:spacing w:val="-21"/>
          <w:vertAlign w:val="baseline"/>
        </w:rPr>
        <w:t> </w:t>
      </w:r>
      <w:r>
        <w:rPr>
          <w:vertAlign w:val="baseline"/>
        </w:rPr>
        <w:t>make</w:t>
      </w:r>
      <w:r>
        <w:rPr>
          <w:spacing w:val="-21"/>
          <w:vertAlign w:val="baseline"/>
        </w:rPr>
        <w:t> </w:t>
      </w:r>
      <w:r>
        <w:rPr>
          <w:vertAlign w:val="baseline"/>
        </w:rPr>
        <w:t>a</w:t>
      </w:r>
      <w:r>
        <w:rPr>
          <w:spacing w:val="-19"/>
          <w:vertAlign w:val="baseline"/>
        </w:rPr>
        <w:t> </w:t>
      </w:r>
      <w:r>
        <w:rPr>
          <w:vertAlign w:val="baseline"/>
        </w:rPr>
        <w:t>practice review report publicly available</w:t>
      </w:r>
      <w:r>
        <w:rPr>
          <w:rFonts w:ascii="Tahoma" w:hAnsi="Tahoma"/>
          <w:b/>
          <w:vertAlign w:val="superscript"/>
        </w:rPr>
        <w:t>18</w:t>
      </w:r>
      <w:r>
        <w:rPr>
          <w:vertAlign w:val="baseline"/>
        </w:rPr>
        <w:t>. The content of these Regulations and the additional obligations</w:t>
      </w:r>
      <w:r>
        <w:rPr>
          <w:spacing w:val="-24"/>
          <w:vertAlign w:val="baseline"/>
        </w:rPr>
        <w:t> </w:t>
      </w:r>
      <w:r>
        <w:rPr>
          <w:vertAlign w:val="baseline"/>
        </w:rPr>
        <w:t>upon</w:t>
      </w:r>
      <w:r>
        <w:rPr>
          <w:spacing w:val="-25"/>
          <w:vertAlign w:val="baseline"/>
        </w:rPr>
        <w:t> </w:t>
      </w:r>
      <w:r>
        <w:rPr>
          <w:vertAlign w:val="baseline"/>
        </w:rPr>
        <w:t>RSB’s</w:t>
      </w:r>
      <w:r>
        <w:rPr>
          <w:spacing w:val="-24"/>
          <w:vertAlign w:val="baseline"/>
        </w:rPr>
        <w:t> </w:t>
      </w:r>
      <w:r>
        <w:rPr>
          <w:vertAlign w:val="baseline"/>
        </w:rPr>
        <w:t>with</w:t>
      </w:r>
      <w:r>
        <w:rPr>
          <w:spacing w:val="-26"/>
          <w:vertAlign w:val="baseline"/>
        </w:rPr>
        <w:t> </w:t>
      </w:r>
      <w:r>
        <w:rPr>
          <w:vertAlign w:val="baseline"/>
        </w:rPr>
        <w:t>regard</w:t>
      </w:r>
      <w:r>
        <w:rPr>
          <w:spacing w:val="-26"/>
          <w:vertAlign w:val="baseline"/>
        </w:rPr>
        <w:t> </w:t>
      </w:r>
      <w:r>
        <w:rPr>
          <w:vertAlign w:val="baseline"/>
        </w:rPr>
        <w:t>to</w:t>
      </w:r>
      <w:r>
        <w:rPr>
          <w:spacing w:val="-23"/>
          <w:vertAlign w:val="baseline"/>
        </w:rPr>
        <w:t> </w:t>
      </w:r>
      <w:r>
        <w:rPr>
          <w:vertAlign w:val="baseline"/>
        </w:rPr>
        <w:t>undertaking</w:t>
      </w:r>
      <w:r>
        <w:rPr>
          <w:spacing w:val="-23"/>
          <w:vertAlign w:val="baseline"/>
        </w:rPr>
        <w:t> </w:t>
      </w:r>
      <w:r>
        <w:rPr>
          <w:vertAlign w:val="baseline"/>
        </w:rPr>
        <w:t>practice</w:t>
      </w:r>
      <w:r>
        <w:rPr>
          <w:spacing w:val="-23"/>
          <w:vertAlign w:val="baseline"/>
        </w:rPr>
        <w:t> </w:t>
      </w:r>
      <w:r>
        <w:rPr>
          <w:vertAlign w:val="baseline"/>
        </w:rPr>
        <w:t>reviews</w:t>
      </w:r>
      <w:r>
        <w:rPr>
          <w:spacing w:val="-23"/>
          <w:vertAlign w:val="baseline"/>
        </w:rPr>
        <w:t> </w:t>
      </w:r>
      <w:r>
        <w:rPr>
          <w:vertAlign w:val="baseline"/>
        </w:rPr>
        <w:t>does</w:t>
      </w:r>
      <w:r>
        <w:rPr>
          <w:spacing w:val="-24"/>
          <w:vertAlign w:val="baseline"/>
        </w:rPr>
        <w:t> </w:t>
      </w:r>
      <w:r>
        <w:rPr>
          <w:vertAlign w:val="baseline"/>
        </w:rPr>
        <w:t>not</w:t>
      </w:r>
      <w:r>
        <w:rPr>
          <w:spacing w:val="-23"/>
          <w:vertAlign w:val="baseline"/>
        </w:rPr>
        <w:t> </w:t>
      </w:r>
      <w:r>
        <w:rPr>
          <w:vertAlign w:val="baseline"/>
        </w:rPr>
        <w:t>however</w:t>
      </w:r>
      <w:r>
        <w:rPr>
          <w:spacing w:val="-24"/>
          <w:vertAlign w:val="baseline"/>
        </w:rPr>
        <w:t> </w:t>
      </w:r>
      <w:r>
        <w:rPr>
          <w:vertAlign w:val="baseline"/>
        </w:rPr>
        <w:t>change our</w:t>
      </w:r>
      <w:r>
        <w:rPr>
          <w:spacing w:val="-6"/>
          <w:vertAlign w:val="baseline"/>
        </w:rPr>
        <w:t> </w:t>
      </w:r>
      <w:r>
        <w:rPr>
          <w:vertAlign w:val="baseline"/>
        </w:rPr>
        <w:t>advice</w:t>
      </w:r>
      <w:r>
        <w:rPr>
          <w:spacing w:val="-2"/>
          <w:vertAlign w:val="baseline"/>
        </w:rPr>
        <w:t> </w:t>
      </w:r>
      <w:r>
        <w:rPr>
          <w:vertAlign w:val="baseline"/>
        </w:rPr>
        <w:t>with</w:t>
      </w:r>
      <w:r>
        <w:rPr>
          <w:spacing w:val="-4"/>
          <w:vertAlign w:val="baseline"/>
        </w:rPr>
        <w:t> </w:t>
      </w:r>
      <w:r>
        <w:rPr>
          <w:vertAlign w:val="baseline"/>
        </w:rPr>
        <w:t>regard</w:t>
      </w:r>
      <w:r>
        <w:rPr>
          <w:spacing w:val="-5"/>
          <w:vertAlign w:val="baseline"/>
        </w:rPr>
        <w:t> </w:t>
      </w:r>
      <w:r>
        <w:rPr>
          <w:vertAlign w:val="baseline"/>
        </w:rPr>
        <w:t>to</w:t>
      </w:r>
      <w:r>
        <w:rPr>
          <w:spacing w:val="-5"/>
          <w:vertAlign w:val="baseline"/>
        </w:rPr>
        <w:t> </w:t>
      </w:r>
      <w:r>
        <w:rPr>
          <w:vertAlign w:val="baseline"/>
        </w:rPr>
        <w:t>the</w:t>
      </w:r>
      <w:r>
        <w:rPr>
          <w:spacing w:val="-2"/>
          <w:vertAlign w:val="baseline"/>
        </w:rPr>
        <w:t> </w:t>
      </w:r>
      <w:r>
        <w:rPr>
          <w:vertAlign w:val="baseline"/>
        </w:rPr>
        <w:t>general</w:t>
      </w:r>
      <w:r>
        <w:rPr>
          <w:spacing w:val="-5"/>
          <w:vertAlign w:val="baseline"/>
        </w:rPr>
        <w:t> </w:t>
      </w:r>
      <w:r>
        <w:rPr>
          <w:vertAlign w:val="baseline"/>
        </w:rPr>
        <w:t>application</w:t>
      </w:r>
      <w:r>
        <w:rPr>
          <w:spacing w:val="-7"/>
          <w:vertAlign w:val="baseline"/>
        </w:rPr>
        <w:t> </w:t>
      </w:r>
      <w:r>
        <w:rPr>
          <w:vertAlign w:val="baseline"/>
        </w:rPr>
        <w:t>of</w:t>
      </w:r>
      <w:r>
        <w:rPr>
          <w:spacing w:val="-7"/>
          <w:vertAlign w:val="baseline"/>
        </w:rPr>
        <w:t> </w:t>
      </w:r>
      <w:r>
        <w:rPr>
          <w:vertAlign w:val="baseline"/>
        </w:rPr>
        <w:t>the</w:t>
      </w:r>
      <w:r>
        <w:rPr>
          <w:spacing w:val="-3"/>
          <w:vertAlign w:val="baseline"/>
        </w:rPr>
        <w:t> </w:t>
      </w:r>
      <w:r>
        <w:rPr>
          <w:vertAlign w:val="baseline"/>
        </w:rPr>
        <w:t>FOIA</w:t>
      </w:r>
      <w:r>
        <w:rPr>
          <w:spacing w:val="-5"/>
          <w:vertAlign w:val="baseline"/>
        </w:rPr>
        <w:t> </w:t>
      </w:r>
      <w:r>
        <w:rPr>
          <w:vertAlign w:val="baseline"/>
        </w:rPr>
        <w:t>set</w:t>
      </w:r>
      <w:r>
        <w:rPr>
          <w:spacing w:val="-5"/>
          <w:vertAlign w:val="baseline"/>
        </w:rPr>
        <w:t> </w:t>
      </w:r>
      <w:r>
        <w:rPr>
          <w:vertAlign w:val="baseline"/>
        </w:rPr>
        <w:t>out</w:t>
      </w:r>
      <w:r>
        <w:rPr>
          <w:spacing w:val="-5"/>
          <w:vertAlign w:val="baseline"/>
        </w:rPr>
        <w:t> </w:t>
      </w:r>
      <w:r>
        <w:rPr>
          <w:vertAlign w:val="baseline"/>
        </w:rPr>
        <w:t>above.</w:t>
      </w:r>
    </w:p>
    <w:p>
      <w:pPr>
        <w:pStyle w:val="BodyText"/>
        <w:spacing w:before="1"/>
        <w:rPr>
          <w:sz w:val="19"/>
        </w:rPr>
      </w:pPr>
    </w:p>
    <w:p>
      <w:pPr>
        <w:pStyle w:val="BodyText"/>
        <w:spacing w:line="312" w:lineRule="auto"/>
        <w:ind w:left="1930" w:right="629"/>
        <w:jc w:val="both"/>
      </w:pPr>
      <w:r>
        <w:rPr/>
        <w:t>Clearly,</w:t>
      </w:r>
      <w:r>
        <w:rPr>
          <w:spacing w:val="-10"/>
        </w:rPr>
        <w:t> </w:t>
      </w:r>
      <w:r>
        <w:rPr/>
        <w:t>there</w:t>
      </w:r>
      <w:r>
        <w:rPr>
          <w:spacing w:val="-6"/>
        </w:rPr>
        <w:t> </w:t>
      </w:r>
      <w:r>
        <w:rPr/>
        <w:t>remains</w:t>
      </w:r>
      <w:r>
        <w:rPr>
          <w:spacing w:val="-7"/>
        </w:rPr>
        <w:t> </w:t>
      </w:r>
      <w:r>
        <w:rPr/>
        <w:t>scope</w:t>
      </w:r>
      <w:r>
        <w:rPr>
          <w:spacing w:val="-6"/>
        </w:rPr>
        <w:t> </w:t>
      </w:r>
      <w:r>
        <w:rPr/>
        <w:t>for</w:t>
      </w:r>
      <w:r>
        <w:rPr>
          <w:spacing w:val="-4"/>
        </w:rPr>
        <w:t> </w:t>
      </w:r>
      <w:r>
        <w:rPr/>
        <w:t>an</w:t>
      </w:r>
      <w:r>
        <w:rPr>
          <w:spacing w:val="-8"/>
        </w:rPr>
        <w:t> </w:t>
      </w:r>
      <w:r>
        <w:rPr/>
        <w:t>individual</w:t>
      </w:r>
      <w:r>
        <w:rPr>
          <w:spacing w:val="-5"/>
        </w:rPr>
        <w:t> </w:t>
      </w:r>
      <w:r>
        <w:rPr/>
        <w:t>Safeguarding</w:t>
      </w:r>
      <w:r>
        <w:rPr>
          <w:spacing w:val="-3"/>
        </w:rPr>
        <w:t> </w:t>
      </w:r>
      <w:r>
        <w:rPr/>
        <w:t>Board</w:t>
      </w:r>
      <w:r>
        <w:rPr>
          <w:spacing w:val="-7"/>
        </w:rPr>
        <w:t> </w:t>
      </w:r>
      <w:r>
        <w:rPr/>
        <w:t>partner</w:t>
      </w:r>
      <w:r>
        <w:rPr>
          <w:spacing w:val="-7"/>
        </w:rPr>
        <w:t> </w:t>
      </w:r>
      <w:r>
        <w:rPr/>
        <w:t>to</w:t>
      </w:r>
      <w:r>
        <w:rPr>
          <w:spacing w:val="-5"/>
        </w:rPr>
        <w:t> </w:t>
      </w:r>
      <w:r>
        <w:rPr/>
        <w:t>be</w:t>
      </w:r>
      <w:r>
        <w:rPr>
          <w:spacing w:val="-6"/>
        </w:rPr>
        <w:t> </w:t>
      </w:r>
      <w:r>
        <w:rPr/>
        <w:t>challenged in terms of the information it holds following serious case reviews/practice reviews. Whilst our</w:t>
      </w:r>
      <w:r>
        <w:rPr>
          <w:spacing w:val="-11"/>
        </w:rPr>
        <w:t> </w:t>
      </w:r>
      <w:r>
        <w:rPr/>
        <w:t>advice</w:t>
      </w:r>
      <w:r>
        <w:rPr>
          <w:spacing w:val="-10"/>
        </w:rPr>
        <w:t> </w:t>
      </w:r>
      <w:r>
        <w:rPr/>
        <w:t>is</w:t>
      </w:r>
      <w:r>
        <w:rPr>
          <w:spacing w:val="-10"/>
        </w:rPr>
        <w:t> </w:t>
      </w:r>
      <w:r>
        <w:rPr/>
        <w:t>that</w:t>
      </w:r>
      <w:r>
        <w:rPr>
          <w:spacing w:val="-9"/>
        </w:rPr>
        <w:t> </w:t>
      </w:r>
      <w:r>
        <w:rPr/>
        <w:t>they</w:t>
      </w:r>
      <w:r>
        <w:rPr>
          <w:spacing w:val="-11"/>
        </w:rPr>
        <w:t> </w:t>
      </w:r>
      <w:r>
        <w:rPr/>
        <w:t>will</w:t>
      </w:r>
      <w:r>
        <w:rPr>
          <w:spacing w:val="-9"/>
        </w:rPr>
        <w:t> </w:t>
      </w:r>
      <w:r>
        <w:rPr/>
        <w:t>be</w:t>
      </w:r>
      <w:r>
        <w:rPr>
          <w:spacing w:val="-9"/>
        </w:rPr>
        <w:t> </w:t>
      </w:r>
      <w:r>
        <w:rPr/>
        <w:t>able</w:t>
      </w:r>
      <w:r>
        <w:rPr>
          <w:spacing w:val="-9"/>
        </w:rPr>
        <w:t> </w:t>
      </w:r>
      <w:r>
        <w:rPr/>
        <w:t>to</w:t>
      </w:r>
      <w:r>
        <w:rPr>
          <w:spacing w:val="-9"/>
        </w:rPr>
        <w:t> </w:t>
      </w:r>
      <w:r>
        <w:rPr/>
        <w:t>rely</w:t>
      </w:r>
      <w:r>
        <w:rPr>
          <w:spacing w:val="-11"/>
        </w:rPr>
        <w:t> </w:t>
      </w:r>
      <w:r>
        <w:rPr/>
        <w:t>on</w:t>
      </w:r>
      <w:r>
        <w:rPr>
          <w:spacing w:val="-11"/>
        </w:rPr>
        <w:t> </w:t>
      </w:r>
      <w:r>
        <w:rPr/>
        <w:t>the</w:t>
      </w:r>
      <w:r>
        <w:rPr>
          <w:spacing w:val="-10"/>
        </w:rPr>
        <w:t> </w:t>
      </w:r>
      <w:r>
        <w:rPr/>
        <w:t>legal</w:t>
      </w:r>
      <w:r>
        <w:rPr>
          <w:spacing w:val="-12"/>
        </w:rPr>
        <w:t> </w:t>
      </w:r>
      <w:r>
        <w:rPr/>
        <w:t>position</w:t>
      </w:r>
      <w:r>
        <w:rPr>
          <w:spacing w:val="-11"/>
        </w:rPr>
        <w:t> </w:t>
      </w:r>
      <w:r>
        <w:rPr/>
        <w:t>set</w:t>
      </w:r>
      <w:r>
        <w:rPr>
          <w:spacing w:val="-9"/>
        </w:rPr>
        <w:t> </w:t>
      </w:r>
      <w:r>
        <w:rPr/>
        <w:t>out</w:t>
      </w:r>
      <w:r>
        <w:rPr>
          <w:spacing w:val="-7"/>
        </w:rPr>
        <w:t> </w:t>
      </w:r>
      <w:r>
        <w:rPr/>
        <w:t>above,</w:t>
      </w:r>
      <w:r>
        <w:rPr>
          <w:spacing w:val="-6"/>
        </w:rPr>
        <w:t> </w:t>
      </w:r>
      <w:r>
        <w:rPr/>
        <w:t>the</w:t>
      </w:r>
      <w:r>
        <w:rPr>
          <w:spacing w:val="-12"/>
        </w:rPr>
        <w:t> </w:t>
      </w:r>
      <w:r>
        <w:rPr/>
        <w:t>manner</w:t>
      </w:r>
      <w:r>
        <w:rPr>
          <w:spacing w:val="-10"/>
        </w:rPr>
        <w:t> </w:t>
      </w:r>
      <w:r>
        <w:rPr/>
        <w:t>in which the information provided to them is used within their organisation will be a relevant factor in determining whether or not information is being held for their own purposes (and thereby disclosable under the FOIA) as well as those of the RSB. This will of course be a factual matter to be considered in individual cases. We are conscious that the NISB is currently</w:t>
      </w:r>
      <w:r>
        <w:rPr>
          <w:spacing w:val="-5"/>
        </w:rPr>
        <w:t> </w:t>
      </w:r>
      <w:r>
        <w:rPr/>
        <w:t>considering</w:t>
      </w:r>
      <w:r>
        <w:rPr>
          <w:spacing w:val="-3"/>
        </w:rPr>
        <w:t> </w:t>
      </w:r>
      <w:r>
        <w:rPr/>
        <w:t>guidance</w:t>
      </w:r>
      <w:r>
        <w:rPr>
          <w:spacing w:val="-2"/>
        </w:rPr>
        <w:t> </w:t>
      </w:r>
      <w:r>
        <w:rPr/>
        <w:t>on</w:t>
      </w:r>
      <w:r>
        <w:rPr>
          <w:spacing w:val="-7"/>
        </w:rPr>
        <w:t> </w:t>
      </w:r>
      <w:r>
        <w:rPr/>
        <w:t>this</w:t>
      </w:r>
      <w:r>
        <w:rPr>
          <w:spacing w:val="-3"/>
        </w:rPr>
        <w:t> </w:t>
      </w:r>
      <w:r>
        <w:rPr/>
        <w:t>area,</w:t>
      </w:r>
      <w:r>
        <w:rPr>
          <w:spacing w:val="-4"/>
        </w:rPr>
        <w:t> </w:t>
      </w:r>
      <w:r>
        <w:rPr/>
        <w:t>which</w:t>
      </w:r>
      <w:r>
        <w:rPr>
          <w:spacing w:val="-5"/>
        </w:rPr>
        <w:t> </w:t>
      </w:r>
      <w:r>
        <w:rPr/>
        <w:t>we</w:t>
      </w:r>
      <w:r>
        <w:rPr>
          <w:spacing w:val="-4"/>
        </w:rPr>
        <w:t> </w:t>
      </w:r>
      <w:r>
        <w:rPr/>
        <w:t>think</w:t>
      </w:r>
      <w:r>
        <w:rPr>
          <w:spacing w:val="-6"/>
        </w:rPr>
        <w:t> </w:t>
      </w:r>
      <w:r>
        <w:rPr/>
        <w:t>eminently</w:t>
      </w:r>
      <w:r>
        <w:rPr>
          <w:spacing w:val="-5"/>
        </w:rPr>
        <w:t> </w:t>
      </w:r>
      <w:r>
        <w:rPr/>
        <w:t>sensible</w:t>
      </w:r>
      <w:r>
        <w:rPr>
          <w:spacing w:val="-5"/>
        </w:rPr>
        <w:t> </w:t>
      </w:r>
      <w:r>
        <w:rPr/>
        <w:t>in</w:t>
      </w:r>
      <w:r>
        <w:rPr>
          <w:spacing w:val="-5"/>
        </w:rPr>
        <w:t> </w:t>
      </w:r>
      <w:r>
        <w:rPr/>
        <w:t>order</w:t>
      </w:r>
      <w:r>
        <w:rPr>
          <w:spacing w:val="-3"/>
        </w:rPr>
        <w:t> </w:t>
      </w:r>
      <w:r>
        <w:rPr/>
        <w:t>for there to be a co-ordinated approach to such</w:t>
      </w:r>
      <w:r>
        <w:rPr>
          <w:spacing w:val="-30"/>
        </w:rPr>
        <w:t> </w:t>
      </w:r>
      <w:r>
        <w:rPr/>
        <w:t>matters.</w:t>
      </w:r>
    </w:p>
    <w:p>
      <w:pPr>
        <w:pStyle w:val="BodyText"/>
        <w:spacing w:before="8"/>
        <w:rPr>
          <w:sz w:val="19"/>
        </w:rPr>
      </w:pPr>
    </w:p>
    <w:p>
      <w:pPr>
        <w:pStyle w:val="BodyText"/>
        <w:spacing w:line="314" w:lineRule="auto"/>
        <w:ind w:left="1902" w:right="669"/>
        <w:jc w:val="both"/>
      </w:pPr>
      <w:r>
        <w:rPr>
          <w:position w:val="1"/>
        </w:rPr>
        <w:t>In contrast to the position under the FOIA, the </w:t>
      </w:r>
      <w:r>
        <w:rPr>
          <w:position w:val="1"/>
          <w:u w:val="single"/>
        </w:rPr>
        <w:t>Data Protection Act 2018</w:t>
      </w:r>
      <w:r>
        <w:rPr>
          <w:position w:val="1"/>
        </w:rPr>
        <w:t> and </w:t>
      </w:r>
      <w:r>
        <w:rPr>
          <w:position w:val="1"/>
          <w:u w:val="single"/>
        </w:rPr>
        <w:t>General </w:t>
      </w:r>
      <w:r>
        <w:rPr>
          <w:u w:val="single"/>
        </w:rPr>
        <w:t>Data</w:t>
      </w:r>
      <w:r>
        <w:rPr/>
        <w:t> </w:t>
      </w:r>
      <w:r>
        <w:rPr>
          <w:u w:val="single"/>
        </w:rPr>
        <w:t>Protection Regulation</w:t>
      </w:r>
      <w:r>
        <w:rPr/>
        <w:t> (GDPR) apply to data held by RSBs.</w:t>
      </w:r>
    </w:p>
    <w:p>
      <w:pPr>
        <w:pStyle w:val="BodyText"/>
        <w:spacing w:before="2"/>
        <w:rPr>
          <w:sz w:val="11"/>
        </w:rPr>
      </w:pPr>
    </w:p>
    <w:p>
      <w:pPr>
        <w:pStyle w:val="BodyText"/>
        <w:spacing w:line="314" w:lineRule="auto" w:before="100"/>
        <w:ind w:left="1902" w:right="642"/>
      </w:pPr>
      <w:r>
        <w:rPr/>
        <w:t>Section 137 of the Act empowers RSBs to request ‘specified information’ from a ‘qualifying person or body’. As set out in the Explanatory Notes to the Act:</w:t>
      </w:r>
    </w:p>
    <w:p>
      <w:pPr>
        <w:pStyle w:val="BodyText"/>
        <w:spacing w:before="5"/>
        <w:rPr>
          <w:sz w:val="19"/>
        </w:rPr>
      </w:pPr>
    </w:p>
    <w:p>
      <w:pPr>
        <w:spacing w:before="0"/>
        <w:ind w:left="1887" w:right="0" w:firstLine="0"/>
        <w:jc w:val="left"/>
        <w:rPr>
          <w:i/>
          <w:sz w:val="18"/>
        </w:rPr>
      </w:pPr>
      <w:r>
        <w:rPr>
          <w:i/>
          <w:sz w:val="18"/>
        </w:rPr>
        <w:t>“Section 137 — Supply of information requested by Safeguarding Boards</w:t>
      </w:r>
    </w:p>
    <w:p>
      <w:pPr>
        <w:pStyle w:val="BodyText"/>
        <w:spacing w:before="3"/>
        <w:rPr>
          <w:i/>
          <w:sz w:val="25"/>
        </w:rPr>
      </w:pPr>
    </w:p>
    <w:p>
      <w:pPr>
        <w:pStyle w:val="ListParagraph"/>
        <w:numPr>
          <w:ilvl w:val="0"/>
          <w:numId w:val="7"/>
        </w:numPr>
        <w:tabs>
          <w:tab w:pos="2394" w:val="left" w:leader="none"/>
        </w:tabs>
        <w:spacing w:line="312" w:lineRule="auto" w:before="0" w:after="0"/>
        <w:ind w:left="1930" w:right="629" w:firstLine="0"/>
        <w:jc w:val="both"/>
        <w:rPr>
          <w:i/>
          <w:sz w:val="18"/>
        </w:rPr>
      </w:pPr>
      <w:r>
        <w:rPr>
          <w:i/>
          <w:sz w:val="18"/>
        </w:rPr>
        <w:t>Section</w:t>
      </w:r>
      <w:r>
        <w:rPr>
          <w:i/>
          <w:spacing w:val="-15"/>
          <w:sz w:val="18"/>
        </w:rPr>
        <w:t> </w:t>
      </w:r>
      <w:r>
        <w:rPr>
          <w:i/>
          <w:sz w:val="18"/>
        </w:rPr>
        <w:t>137</w:t>
      </w:r>
      <w:r>
        <w:rPr>
          <w:i/>
          <w:spacing w:val="-12"/>
          <w:sz w:val="18"/>
        </w:rPr>
        <w:t> </w:t>
      </w:r>
      <w:r>
        <w:rPr>
          <w:i/>
          <w:sz w:val="18"/>
        </w:rPr>
        <w:t>provides</w:t>
      </w:r>
      <w:r>
        <w:rPr>
          <w:i/>
          <w:spacing w:val="-16"/>
          <w:sz w:val="18"/>
        </w:rPr>
        <w:t> </w:t>
      </w:r>
      <w:r>
        <w:rPr>
          <w:i/>
          <w:sz w:val="18"/>
        </w:rPr>
        <w:t>that</w:t>
      </w:r>
      <w:r>
        <w:rPr>
          <w:i/>
          <w:spacing w:val="-12"/>
          <w:sz w:val="18"/>
        </w:rPr>
        <w:t> </w:t>
      </w:r>
      <w:r>
        <w:rPr>
          <w:i/>
          <w:sz w:val="18"/>
        </w:rPr>
        <w:t>a</w:t>
      </w:r>
      <w:r>
        <w:rPr>
          <w:i/>
          <w:spacing w:val="-13"/>
          <w:sz w:val="18"/>
        </w:rPr>
        <w:t> </w:t>
      </w:r>
      <w:r>
        <w:rPr>
          <w:i/>
          <w:sz w:val="18"/>
        </w:rPr>
        <w:t>Safeguarding</w:t>
      </w:r>
      <w:r>
        <w:rPr>
          <w:i/>
          <w:spacing w:val="-12"/>
          <w:sz w:val="18"/>
        </w:rPr>
        <w:t> </w:t>
      </w:r>
      <w:r>
        <w:rPr>
          <w:i/>
          <w:sz w:val="18"/>
        </w:rPr>
        <w:t>Board</w:t>
      </w:r>
      <w:r>
        <w:rPr>
          <w:i/>
          <w:spacing w:val="-15"/>
          <w:sz w:val="18"/>
        </w:rPr>
        <w:t> </w:t>
      </w:r>
      <w:r>
        <w:rPr>
          <w:i/>
          <w:sz w:val="18"/>
        </w:rPr>
        <w:t>may</w:t>
      </w:r>
      <w:r>
        <w:rPr>
          <w:i/>
          <w:spacing w:val="-16"/>
          <w:sz w:val="18"/>
        </w:rPr>
        <w:t> </w:t>
      </w:r>
      <w:r>
        <w:rPr>
          <w:i/>
          <w:sz w:val="18"/>
        </w:rPr>
        <w:t>ask</w:t>
      </w:r>
      <w:r>
        <w:rPr>
          <w:i/>
          <w:spacing w:val="-11"/>
          <w:sz w:val="18"/>
        </w:rPr>
        <w:t> </w:t>
      </w:r>
      <w:r>
        <w:rPr>
          <w:i/>
          <w:sz w:val="18"/>
        </w:rPr>
        <w:t>a</w:t>
      </w:r>
      <w:r>
        <w:rPr>
          <w:i/>
          <w:spacing w:val="-13"/>
          <w:sz w:val="18"/>
        </w:rPr>
        <w:t> </w:t>
      </w:r>
      <w:r>
        <w:rPr>
          <w:i/>
          <w:sz w:val="18"/>
        </w:rPr>
        <w:t>person</w:t>
      </w:r>
      <w:r>
        <w:rPr>
          <w:i/>
          <w:spacing w:val="-16"/>
          <w:sz w:val="18"/>
        </w:rPr>
        <w:t> </w:t>
      </w:r>
      <w:r>
        <w:rPr>
          <w:i/>
          <w:sz w:val="18"/>
        </w:rPr>
        <w:t>or</w:t>
      </w:r>
      <w:r>
        <w:rPr>
          <w:i/>
          <w:spacing w:val="-13"/>
          <w:sz w:val="18"/>
        </w:rPr>
        <w:t> </w:t>
      </w:r>
      <w:r>
        <w:rPr>
          <w:i/>
          <w:sz w:val="18"/>
        </w:rPr>
        <w:t>a</w:t>
      </w:r>
      <w:r>
        <w:rPr>
          <w:i/>
          <w:spacing w:val="-13"/>
          <w:sz w:val="18"/>
        </w:rPr>
        <w:t> </w:t>
      </w:r>
      <w:r>
        <w:rPr>
          <w:i/>
          <w:sz w:val="18"/>
        </w:rPr>
        <w:t>body</w:t>
      </w:r>
      <w:r>
        <w:rPr>
          <w:i/>
          <w:spacing w:val="-16"/>
          <w:sz w:val="18"/>
        </w:rPr>
        <w:t> </w:t>
      </w:r>
      <w:r>
        <w:rPr>
          <w:i/>
          <w:sz w:val="18"/>
        </w:rPr>
        <w:t>to</w:t>
      </w:r>
      <w:r>
        <w:rPr>
          <w:i/>
          <w:spacing w:val="-14"/>
          <w:sz w:val="18"/>
        </w:rPr>
        <w:t> </w:t>
      </w:r>
      <w:r>
        <w:rPr>
          <w:i/>
          <w:sz w:val="18"/>
        </w:rPr>
        <w:t>provide information to it or another person or body that it specifies. The information request must be made to a “qualifying person or body” and must be for the purpose of assisting the Safeguarding</w:t>
      </w:r>
      <w:r>
        <w:rPr>
          <w:i/>
          <w:spacing w:val="-8"/>
          <w:sz w:val="18"/>
        </w:rPr>
        <w:t> </w:t>
      </w:r>
      <w:r>
        <w:rPr>
          <w:i/>
          <w:sz w:val="18"/>
        </w:rPr>
        <w:t>Board</w:t>
      </w:r>
      <w:r>
        <w:rPr>
          <w:i/>
          <w:spacing w:val="-7"/>
          <w:sz w:val="18"/>
        </w:rPr>
        <w:t> </w:t>
      </w:r>
      <w:r>
        <w:rPr>
          <w:i/>
          <w:sz w:val="18"/>
        </w:rPr>
        <w:t>in</w:t>
      </w:r>
      <w:r>
        <w:rPr>
          <w:i/>
          <w:spacing w:val="-12"/>
          <w:sz w:val="18"/>
        </w:rPr>
        <w:t> </w:t>
      </w:r>
      <w:r>
        <w:rPr>
          <w:i/>
          <w:sz w:val="18"/>
        </w:rPr>
        <w:t>the</w:t>
      </w:r>
      <w:r>
        <w:rPr>
          <w:i/>
          <w:spacing w:val="-6"/>
          <w:sz w:val="18"/>
        </w:rPr>
        <w:t> </w:t>
      </w:r>
      <w:r>
        <w:rPr>
          <w:i/>
          <w:sz w:val="18"/>
        </w:rPr>
        <w:t>exercise</w:t>
      </w:r>
      <w:r>
        <w:rPr>
          <w:i/>
          <w:spacing w:val="-7"/>
          <w:sz w:val="18"/>
        </w:rPr>
        <w:t> </w:t>
      </w:r>
      <w:r>
        <w:rPr>
          <w:i/>
          <w:sz w:val="18"/>
        </w:rPr>
        <w:t>of</w:t>
      </w:r>
      <w:r>
        <w:rPr>
          <w:i/>
          <w:spacing w:val="-11"/>
          <w:sz w:val="18"/>
        </w:rPr>
        <w:t> </w:t>
      </w:r>
      <w:r>
        <w:rPr>
          <w:i/>
          <w:sz w:val="18"/>
        </w:rPr>
        <w:t>its</w:t>
      </w:r>
      <w:r>
        <w:rPr>
          <w:i/>
          <w:spacing w:val="-11"/>
          <w:sz w:val="18"/>
        </w:rPr>
        <w:t> </w:t>
      </w:r>
      <w:r>
        <w:rPr>
          <w:i/>
          <w:sz w:val="18"/>
        </w:rPr>
        <w:t>functions.</w:t>
      </w:r>
      <w:r>
        <w:rPr>
          <w:i/>
          <w:spacing w:val="-12"/>
          <w:sz w:val="18"/>
        </w:rPr>
        <w:t> </w:t>
      </w:r>
      <w:r>
        <w:rPr>
          <w:i/>
          <w:sz w:val="18"/>
        </w:rPr>
        <w:t>A</w:t>
      </w:r>
      <w:r>
        <w:rPr>
          <w:i/>
          <w:spacing w:val="-4"/>
          <w:sz w:val="18"/>
        </w:rPr>
        <w:t> </w:t>
      </w:r>
      <w:r>
        <w:rPr>
          <w:i/>
          <w:sz w:val="18"/>
        </w:rPr>
        <w:t>“qualifying</w:t>
      </w:r>
      <w:r>
        <w:rPr>
          <w:i/>
          <w:spacing w:val="-10"/>
          <w:sz w:val="18"/>
        </w:rPr>
        <w:t> </w:t>
      </w:r>
      <w:r>
        <w:rPr>
          <w:i/>
          <w:sz w:val="18"/>
        </w:rPr>
        <w:t>person</w:t>
      </w:r>
      <w:r>
        <w:rPr>
          <w:i/>
          <w:spacing w:val="-5"/>
          <w:sz w:val="18"/>
        </w:rPr>
        <w:t> </w:t>
      </w:r>
      <w:r>
        <w:rPr>
          <w:i/>
          <w:sz w:val="18"/>
        </w:rPr>
        <w:t>or</w:t>
      </w:r>
      <w:r>
        <w:rPr>
          <w:i/>
          <w:spacing w:val="-3"/>
          <w:sz w:val="18"/>
        </w:rPr>
        <w:t> </w:t>
      </w:r>
      <w:r>
        <w:rPr>
          <w:i/>
          <w:sz w:val="18"/>
        </w:rPr>
        <w:t>body”</w:t>
      </w:r>
      <w:r>
        <w:rPr>
          <w:i/>
          <w:spacing w:val="-11"/>
          <w:sz w:val="18"/>
        </w:rPr>
        <w:t> </w:t>
      </w:r>
      <w:r>
        <w:rPr>
          <w:i/>
          <w:sz w:val="18"/>
        </w:rPr>
        <w:t>is</w:t>
      </w:r>
      <w:r>
        <w:rPr>
          <w:i/>
          <w:spacing w:val="-5"/>
          <w:sz w:val="18"/>
        </w:rPr>
        <w:t> </w:t>
      </w:r>
      <w:r>
        <w:rPr>
          <w:i/>
          <w:sz w:val="18"/>
        </w:rPr>
        <w:t>defined in subsection (7) and means a person or body whose activities or functions are considered by the Safeguarding Board to be such that the person or body is likely to have information relevant to the exercise of a function of the Safeguarding</w:t>
      </w:r>
      <w:r>
        <w:rPr>
          <w:i/>
          <w:spacing w:val="59"/>
          <w:sz w:val="18"/>
        </w:rPr>
        <w:t> </w:t>
      </w:r>
      <w:r>
        <w:rPr>
          <w:i/>
          <w:sz w:val="18"/>
        </w:rPr>
        <w:t>Board.</w:t>
      </w:r>
    </w:p>
    <w:p>
      <w:pPr>
        <w:pStyle w:val="BodyText"/>
        <w:spacing w:before="9"/>
        <w:rPr>
          <w:i/>
          <w:sz w:val="19"/>
        </w:rPr>
      </w:pPr>
    </w:p>
    <w:p>
      <w:pPr>
        <w:pStyle w:val="ListParagraph"/>
        <w:numPr>
          <w:ilvl w:val="0"/>
          <w:numId w:val="7"/>
        </w:numPr>
        <w:tabs>
          <w:tab w:pos="2454" w:val="left" w:leader="none"/>
        </w:tabs>
        <w:spacing w:line="312" w:lineRule="auto" w:before="0" w:after="0"/>
        <w:ind w:left="1930" w:right="629" w:firstLine="0"/>
        <w:jc w:val="both"/>
        <w:rPr>
          <w:i/>
          <w:sz w:val="18"/>
        </w:rPr>
      </w:pPr>
      <w:r>
        <w:rPr/>
        <w:pict>
          <v:rect style="position:absolute;margin-left:70.944pt;margin-top:63.528355pt;width:144.020pt;height:.47998pt;mso-position-horizontal-relative:page;mso-position-vertical-relative:paragraph;z-index:-15725056;mso-wrap-distance-left:0;mso-wrap-distance-right:0" filled="true" fillcolor="#000000" stroked="false">
            <v:fill type="solid"/>
            <w10:wrap type="topAndBottom"/>
          </v:rect>
        </w:pict>
      </w:r>
      <w:r>
        <w:rPr>
          <w:i/>
          <w:sz w:val="18"/>
        </w:rPr>
        <w:t>This section provides a statutory gateway to enable persons to lawfully provide information to Safeguarding  Boards when requested. The  processing of  personal data  in compliance with a legal obligation to which the data controller is subject, other than an obligation imposed by contract, can provide a lawful basis for</w:t>
      </w:r>
      <w:r>
        <w:rPr>
          <w:i/>
          <w:spacing w:val="-18"/>
          <w:sz w:val="18"/>
        </w:rPr>
        <w:t> </w:t>
      </w:r>
      <w:r>
        <w:rPr>
          <w:i/>
          <w:sz w:val="18"/>
        </w:rPr>
        <w:t>processing data under</w:t>
      </w:r>
    </w:p>
    <w:p>
      <w:pPr>
        <w:pStyle w:val="ListParagraph"/>
        <w:numPr>
          <w:ilvl w:val="0"/>
          <w:numId w:val="6"/>
        </w:numPr>
        <w:tabs>
          <w:tab w:pos="1930" w:val="left" w:leader="none"/>
          <w:tab w:pos="1931" w:val="left" w:leader="none"/>
        </w:tabs>
        <w:spacing w:line="240" w:lineRule="auto" w:before="56" w:after="0"/>
        <w:ind w:left="1930" w:right="0" w:hanging="853"/>
        <w:jc w:val="left"/>
        <w:rPr>
          <w:rFonts w:ascii="Tahoma"/>
          <w:sz w:val="16"/>
        </w:rPr>
      </w:pPr>
      <w:r>
        <w:rPr>
          <w:rFonts w:ascii="Tahoma"/>
          <w:sz w:val="16"/>
        </w:rPr>
        <w:t>Regulation</w:t>
      </w:r>
      <w:r>
        <w:rPr>
          <w:rFonts w:ascii="Tahoma"/>
          <w:spacing w:val="-5"/>
          <w:sz w:val="16"/>
        </w:rPr>
        <w:t> </w:t>
      </w:r>
      <w:r>
        <w:rPr>
          <w:rFonts w:ascii="Tahoma"/>
          <w:sz w:val="16"/>
        </w:rPr>
        <w:t>3</w:t>
      </w:r>
    </w:p>
    <w:p>
      <w:pPr>
        <w:pStyle w:val="ListParagraph"/>
        <w:numPr>
          <w:ilvl w:val="0"/>
          <w:numId w:val="6"/>
        </w:numPr>
        <w:tabs>
          <w:tab w:pos="1930" w:val="left" w:leader="none"/>
          <w:tab w:pos="1931" w:val="left" w:leader="none"/>
        </w:tabs>
        <w:spacing w:line="240" w:lineRule="auto" w:before="69" w:after="0"/>
        <w:ind w:left="1930" w:right="0" w:hanging="853"/>
        <w:jc w:val="left"/>
        <w:rPr>
          <w:rFonts w:ascii="Tahoma"/>
          <w:sz w:val="16"/>
        </w:rPr>
      </w:pPr>
      <w:r>
        <w:rPr>
          <w:rFonts w:ascii="Tahoma"/>
          <w:sz w:val="16"/>
        </w:rPr>
        <w:t>Regulation</w:t>
      </w:r>
      <w:r>
        <w:rPr>
          <w:rFonts w:ascii="Tahoma"/>
          <w:spacing w:val="-5"/>
          <w:sz w:val="16"/>
        </w:rPr>
        <w:t> </w:t>
      </w:r>
      <w:r>
        <w:rPr>
          <w:rFonts w:ascii="Tahoma"/>
          <w:sz w:val="16"/>
        </w:rPr>
        <w:t>4</w:t>
      </w:r>
    </w:p>
    <w:p>
      <w:pPr>
        <w:pStyle w:val="ListParagraph"/>
        <w:numPr>
          <w:ilvl w:val="0"/>
          <w:numId w:val="6"/>
        </w:numPr>
        <w:tabs>
          <w:tab w:pos="1930" w:val="left" w:leader="none"/>
          <w:tab w:pos="1931" w:val="left" w:leader="none"/>
        </w:tabs>
        <w:spacing w:line="240" w:lineRule="auto" w:before="67" w:after="0"/>
        <w:ind w:left="1930" w:right="0" w:hanging="853"/>
        <w:jc w:val="left"/>
        <w:rPr>
          <w:rFonts w:ascii="Tahoma"/>
          <w:sz w:val="16"/>
        </w:rPr>
      </w:pPr>
      <w:r>
        <w:rPr>
          <w:rFonts w:ascii="Tahoma"/>
          <w:sz w:val="16"/>
        </w:rPr>
        <w:t>Regulation</w:t>
      </w:r>
      <w:r>
        <w:rPr>
          <w:rFonts w:ascii="Tahoma"/>
          <w:spacing w:val="-2"/>
          <w:sz w:val="16"/>
        </w:rPr>
        <w:t> </w:t>
      </w:r>
      <w:r>
        <w:rPr>
          <w:rFonts w:ascii="Tahoma"/>
          <w:sz w:val="16"/>
        </w:rPr>
        <w:t>4(l)</w:t>
      </w:r>
    </w:p>
    <w:p>
      <w:pPr>
        <w:spacing w:after="0" w:line="240" w:lineRule="auto"/>
        <w:jc w:val="left"/>
        <w:rPr>
          <w:rFonts w:ascii="Tahoma"/>
          <w:sz w:val="16"/>
        </w:rPr>
        <w:sectPr>
          <w:pgSz w:w="11910" w:h="16850"/>
          <w:pgMar w:header="0" w:footer="643" w:top="1340" w:bottom="840" w:left="340" w:right="780"/>
        </w:sectPr>
      </w:pPr>
    </w:p>
    <w:p>
      <w:pPr>
        <w:spacing w:line="328" w:lineRule="auto" w:before="79"/>
        <w:ind w:left="1930" w:right="741" w:firstLine="0"/>
        <w:jc w:val="left"/>
        <w:rPr>
          <w:rFonts w:ascii="Tahoma"/>
          <w:b/>
          <w:sz w:val="18"/>
        </w:rPr>
      </w:pPr>
      <w:r>
        <w:rPr>
          <w:i/>
          <w:sz w:val="18"/>
        </w:rPr>
        <w:t>the Data Protection Act 1998 (see Schedule 1 (paragraph (a) of the first data protection principle) and Schedule 2, paragraph 3 of that Act).</w:t>
      </w:r>
      <w:r>
        <w:rPr>
          <w:rFonts w:ascii="Tahoma"/>
          <w:b/>
          <w:sz w:val="18"/>
          <w:vertAlign w:val="superscript"/>
        </w:rPr>
        <w:t>19</w:t>
      </w:r>
    </w:p>
    <w:p>
      <w:pPr>
        <w:pStyle w:val="BodyText"/>
        <w:spacing w:before="9"/>
        <w:rPr>
          <w:rFonts w:ascii="Tahoma"/>
          <w:b/>
          <w:sz w:val="19"/>
        </w:rPr>
      </w:pPr>
    </w:p>
    <w:p>
      <w:pPr>
        <w:pStyle w:val="ListParagraph"/>
        <w:numPr>
          <w:ilvl w:val="0"/>
          <w:numId w:val="7"/>
        </w:numPr>
        <w:tabs>
          <w:tab w:pos="2356" w:val="left" w:leader="none"/>
        </w:tabs>
        <w:spacing w:line="312" w:lineRule="auto" w:before="0" w:after="0"/>
        <w:ind w:left="1887" w:right="708" w:firstLine="0"/>
        <w:jc w:val="both"/>
        <w:rPr>
          <w:i/>
          <w:sz w:val="18"/>
        </w:rPr>
      </w:pPr>
      <w:r>
        <w:rPr>
          <w:i/>
          <w:sz w:val="18"/>
        </w:rPr>
        <w:t>The</w:t>
      </w:r>
      <w:r>
        <w:rPr>
          <w:i/>
          <w:spacing w:val="-12"/>
          <w:sz w:val="18"/>
        </w:rPr>
        <w:t> </w:t>
      </w:r>
      <w:r>
        <w:rPr>
          <w:i/>
          <w:sz w:val="18"/>
        </w:rPr>
        <w:t>qualifying</w:t>
      </w:r>
      <w:r>
        <w:rPr>
          <w:i/>
          <w:spacing w:val="-11"/>
          <w:sz w:val="18"/>
        </w:rPr>
        <w:t> </w:t>
      </w:r>
      <w:r>
        <w:rPr>
          <w:i/>
          <w:sz w:val="18"/>
        </w:rPr>
        <w:t>person</w:t>
      </w:r>
      <w:r>
        <w:rPr>
          <w:i/>
          <w:spacing w:val="-13"/>
          <w:sz w:val="18"/>
        </w:rPr>
        <w:t> </w:t>
      </w:r>
      <w:r>
        <w:rPr>
          <w:i/>
          <w:sz w:val="18"/>
        </w:rPr>
        <w:t>or</w:t>
      </w:r>
      <w:r>
        <w:rPr>
          <w:i/>
          <w:spacing w:val="-12"/>
          <w:sz w:val="18"/>
        </w:rPr>
        <w:t> </w:t>
      </w:r>
      <w:r>
        <w:rPr>
          <w:i/>
          <w:sz w:val="18"/>
        </w:rPr>
        <w:t>body</w:t>
      </w:r>
      <w:r>
        <w:rPr>
          <w:i/>
          <w:spacing w:val="-10"/>
          <w:sz w:val="18"/>
        </w:rPr>
        <w:t> </w:t>
      </w:r>
      <w:r>
        <w:rPr>
          <w:i/>
          <w:sz w:val="18"/>
        </w:rPr>
        <w:t>is</w:t>
      </w:r>
      <w:r>
        <w:rPr>
          <w:i/>
          <w:spacing w:val="-12"/>
          <w:sz w:val="18"/>
        </w:rPr>
        <w:t> </w:t>
      </w:r>
      <w:r>
        <w:rPr>
          <w:i/>
          <w:sz w:val="18"/>
        </w:rPr>
        <w:t>under</w:t>
      </w:r>
      <w:r>
        <w:rPr>
          <w:i/>
          <w:spacing w:val="-12"/>
          <w:sz w:val="18"/>
        </w:rPr>
        <w:t> </w:t>
      </w:r>
      <w:r>
        <w:rPr>
          <w:i/>
          <w:sz w:val="18"/>
        </w:rPr>
        <w:t>a</w:t>
      </w:r>
      <w:r>
        <w:rPr>
          <w:i/>
          <w:spacing w:val="-12"/>
          <w:sz w:val="18"/>
        </w:rPr>
        <w:t> </w:t>
      </w:r>
      <w:r>
        <w:rPr>
          <w:i/>
          <w:sz w:val="18"/>
        </w:rPr>
        <w:t>duty</w:t>
      </w:r>
      <w:r>
        <w:rPr>
          <w:i/>
          <w:spacing w:val="-12"/>
          <w:sz w:val="18"/>
        </w:rPr>
        <w:t> </w:t>
      </w:r>
      <w:r>
        <w:rPr>
          <w:i/>
          <w:sz w:val="18"/>
        </w:rPr>
        <w:t>to</w:t>
      </w:r>
      <w:r>
        <w:rPr>
          <w:i/>
          <w:spacing w:val="-11"/>
          <w:sz w:val="18"/>
        </w:rPr>
        <w:t> </w:t>
      </w:r>
      <w:r>
        <w:rPr>
          <w:i/>
          <w:sz w:val="18"/>
        </w:rPr>
        <w:t>comply</w:t>
      </w:r>
      <w:r>
        <w:rPr>
          <w:i/>
          <w:spacing w:val="-13"/>
          <w:sz w:val="18"/>
        </w:rPr>
        <w:t> </w:t>
      </w:r>
      <w:r>
        <w:rPr>
          <w:i/>
          <w:sz w:val="18"/>
        </w:rPr>
        <w:t>with</w:t>
      </w:r>
      <w:r>
        <w:rPr>
          <w:i/>
          <w:spacing w:val="-13"/>
          <w:sz w:val="18"/>
        </w:rPr>
        <w:t> </w:t>
      </w:r>
      <w:r>
        <w:rPr>
          <w:i/>
          <w:sz w:val="18"/>
        </w:rPr>
        <w:t>a</w:t>
      </w:r>
      <w:r>
        <w:rPr>
          <w:i/>
          <w:spacing w:val="-12"/>
          <w:sz w:val="18"/>
        </w:rPr>
        <w:t> </w:t>
      </w:r>
      <w:r>
        <w:rPr>
          <w:i/>
          <w:sz w:val="18"/>
        </w:rPr>
        <w:t>request</w:t>
      </w:r>
      <w:r>
        <w:rPr>
          <w:i/>
          <w:spacing w:val="-11"/>
          <w:sz w:val="18"/>
        </w:rPr>
        <w:t> </w:t>
      </w:r>
      <w:r>
        <w:rPr>
          <w:i/>
          <w:sz w:val="18"/>
        </w:rPr>
        <w:t>for</w:t>
      </w:r>
      <w:r>
        <w:rPr>
          <w:i/>
          <w:spacing w:val="-11"/>
          <w:sz w:val="18"/>
        </w:rPr>
        <w:t> </w:t>
      </w:r>
      <w:r>
        <w:rPr>
          <w:i/>
          <w:sz w:val="18"/>
        </w:rPr>
        <w:t>information made by a Safeguarding Board under this section, unless the qualifying person or body considers that doing so would </w:t>
      </w:r>
      <w:r>
        <w:rPr>
          <w:i/>
          <w:spacing w:val="-3"/>
          <w:sz w:val="18"/>
        </w:rPr>
        <w:t>be </w:t>
      </w:r>
      <w:r>
        <w:rPr>
          <w:i/>
          <w:sz w:val="18"/>
        </w:rPr>
        <w:t>incompatible with their own duties or have an adverse effect on the exercise of their powers or duties. A  qualifying person or  body who  decides not to comply with the request must provide the Safeguarding Board which made the request with written reasons for their</w:t>
      </w:r>
      <w:r>
        <w:rPr>
          <w:i/>
          <w:spacing w:val="-20"/>
          <w:sz w:val="18"/>
        </w:rPr>
        <w:t> </w:t>
      </w:r>
      <w:r>
        <w:rPr>
          <w:i/>
          <w:sz w:val="18"/>
        </w:rPr>
        <w:t>decision.”</w:t>
      </w:r>
    </w:p>
    <w:p>
      <w:pPr>
        <w:pStyle w:val="BodyText"/>
        <w:spacing w:before="9"/>
        <w:rPr>
          <w:i/>
          <w:sz w:val="19"/>
        </w:rPr>
      </w:pPr>
    </w:p>
    <w:p>
      <w:pPr>
        <w:pStyle w:val="Heading2"/>
        <w:numPr>
          <w:ilvl w:val="0"/>
          <w:numId w:val="5"/>
        </w:numPr>
        <w:tabs>
          <w:tab w:pos="1930" w:val="left" w:leader="none"/>
          <w:tab w:pos="1931" w:val="left" w:leader="none"/>
        </w:tabs>
        <w:spacing w:line="314" w:lineRule="auto" w:before="0" w:after="0"/>
        <w:ind w:left="1930" w:right="632" w:hanging="852"/>
        <w:jc w:val="left"/>
      </w:pPr>
      <w:r>
        <w:rPr/>
        <w:t>Who owns CPR and Adult Practice Reviews if Regional Safeguarding Boards are multi agency boards not legal</w:t>
      </w:r>
      <w:r>
        <w:rPr>
          <w:spacing w:val="-1"/>
        </w:rPr>
        <w:t> </w:t>
      </w:r>
      <w:r>
        <w:rPr/>
        <w:t>entities?</w:t>
      </w:r>
    </w:p>
    <w:p>
      <w:pPr>
        <w:pStyle w:val="BodyText"/>
        <w:spacing w:before="5"/>
        <w:rPr>
          <w:b/>
          <w:sz w:val="19"/>
        </w:rPr>
      </w:pPr>
    </w:p>
    <w:p>
      <w:pPr>
        <w:pStyle w:val="BodyText"/>
        <w:spacing w:line="314" w:lineRule="auto"/>
        <w:ind w:left="1899" w:firstLine="31"/>
      </w:pPr>
      <w:r>
        <w:rPr/>
        <w:t>Practice reviews are undertaken by RSBs in accordance with regulations 3 and 4, </w:t>
      </w:r>
      <w:r>
        <w:rPr>
          <w:u w:val="single"/>
        </w:rPr>
        <w:t>The</w:t>
      </w:r>
      <w:r>
        <w:rPr/>
        <w:t> </w:t>
      </w:r>
      <w:r>
        <w:rPr>
          <w:u w:val="single"/>
        </w:rPr>
        <w:t>Safeguarding Boards (Functions and Procedures) (Wales) Regulations 2015</w:t>
      </w:r>
      <w:r>
        <w:rPr/>
        <w:t>.</w:t>
      </w:r>
    </w:p>
    <w:p>
      <w:pPr>
        <w:pStyle w:val="BodyText"/>
        <w:spacing w:before="2"/>
        <w:rPr>
          <w:sz w:val="11"/>
        </w:rPr>
      </w:pPr>
    </w:p>
    <w:p>
      <w:pPr>
        <w:pStyle w:val="BodyText"/>
        <w:spacing w:line="314" w:lineRule="auto" w:before="100"/>
        <w:ind w:left="1899" w:right="712"/>
        <w:jc w:val="both"/>
      </w:pPr>
      <w:r>
        <w:rPr/>
        <w:t>Therefore RSBs, as opposed to their constituent “Safeguarding Board partner[s]”, own them in the sense that:</w:t>
      </w:r>
    </w:p>
    <w:p>
      <w:pPr>
        <w:pStyle w:val="BodyText"/>
        <w:spacing w:before="5"/>
        <w:rPr>
          <w:sz w:val="19"/>
        </w:rPr>
      </w:pPr>
    </w:p>
    <w:p>
      <w:pPr>
        <w:pStyle w:val="ListParagraph"/>
        <w:numPr>
          <w:ilvl w:val="0"/>
          <w:numId w:val="8"/>
        </w:numPr>
        <w:tabs>
          <w:tab w:pos="2258" w:val="left" w:leader="none"/>
        </w:tabs>
        <w:spacing w:line="240" w:lineRule="auto" w:before="0" w:after="0"/>
        <w:ind w:left="2257" w:right="0" w:hanging="359"/>
        <w:jc w:val="left"/>
        <w:rPr>
          <w:sz w:val="18"/>
        </w:rPr>
      </w:pPr>
      <w:r>
        <w:rPr>
          <w:sz w:val="18"/>
        </w:rPr>
        <w:t>They have been produced by the RSB in the exercise of its statutory</w:t>
      </w:r>
      <w:r>
        <w:rPr>
          <w:spacing w:val="-29"/>
          <w:sz w:val="18"/>
        </w:rPr>
        <w:t> </w:t>
      </w:r>
      <w:r>
        <w:rPr>
          <w:sz w:val="18"/>
        </w:rPr>
        <w:t>duties,</w:t>
      </w:r>
    </w:p>
    <w:p>
      <w:pPr>
        <w:pStyle w:val="BodyText"/>
        <w:spacing w:before="3"/>
        <w:rPr>
          <w:sz w:val="25"/>
        </w:rPr>
      </w:pPr>
    </w:p>
    <w:p>
      <w:pPr>
        <w:pStyle w:val="ListParagraph"/>
        <w:numPr>
          <w:ilvl w:val="0"/>
          <w:numId w:val="8"/>
        </w:numPr>
        <w:tabs>
          <w:tab w:pos="2229" w:val="left" w:leader="none"/>
        </w:tabs>
        <w:spacing w:line="312" w:lineRule="auto" w:before="0" w:after="0"/>
        <w:ind w:left="2259" w:right="709" w:hanging="360"/>
        <w:jc w:val="both"/>
        <w:rPr>
          <w:sz w:val="18"/>
        </w:rPr>
      </w:pPr>
      <w:r>
        <w:rPr>
          <w:sz w:val="18"/>
        </w:rPr>
        <w:t>To the extent that the information contained therein is in the possession of a relevant partner, it is held by that partner on behalf of the RSB (as considered at paragraphs 14 to 17</w:t>
      </w:r>
      <w:r>
        <w:rPr>
          <w:spacing w:val="-2"/>
          <w:sz w:val="18"/>
        </w:rPr>
        <w:t> </w:t>
      </w:r>
      <w:r>
        <w:rPr>
          <w:sz w:val="18"/>
        </w:rPr>
        <w:t>above).</w:t>
      </w:r>
    </w:p>
    <w:p>
      <w:pPr>
        <w:pStyle w:val="BodyText"/>
        <w:spacing w:before="8"/>
        <w:rPr>
          <w:sz w:val="19"/>
        </w:rPr>
      </w:pPr>
    </w:p>
    <w:p>
      <w:pPr>
        <w:pStyle w:val="Heading2"/>
        <w:numPr>
          <w:ilvl w:val="0"/>
          <w:numId w:val="5"/>
        </w:numPr>
        <w:tabs>
          <w:tab w:pos="1930" w:val="left" w:leader="none"/>
          <w:tab w:pos="1931" w:val="left" w:leader="none"/>
        </w:tabs>
        <w:spacing w:line="314" w:lineRule="auto" w:before="0" w:after="0"/>
        <w:ind w:left="1930" w:right="633" w:hanging="852"/>
        <w:jc w:val="left"/>
      </w:pPr>
      <w:r>
        <w:rPr/>
        <w:t>How do Regional Safeguarding Boards delineate between a board complaint and an agency</w:t>
      </w:r>
      <w:r>
        <w:rPr>
          <w:spacing w:val="-6"/>
        </w:rPr>
        <w:t> </w:t>
      </w:r>
      <w:r>
        <w:rPr/>
        <w:t>complaint?</w:t>
      </w:r>
    </w:p>
    <w:p>
      <w:pPr>
        <w:pStyle w:val="BodyText"/>
        <w:spacing w:before="5"/>
        <w:rPr>
          <w:b/>
          <w:sz w:val="19"/>
        </w:rPr>
      </w:pPr>
    </w:p>
    <w:p>
      <w:pPr>
        <w:pStyle w:val="BodyText"/>
        <w:spacing w:line="314" w:lineRule="auto"/>
        <w:ind w:left="1930" w:right="631"/>
        <w:jc w:val="both"/>
      </w:pPr>
      <w:r>
        <w:rPr/>
        <w:t>This query relates to whether a complaint is to be treated as directed at the RSB itself    or at one of its constituent “Safeguarding Board partner[s]”.</w:t>
      </w:r>
    </w:p>
    <w:p>
      <w:pPr>
        <w:pStyle w:val="BodyText"/>
        <w:spacing w:before="5"/>
        <w:rPr>
          <w:sz w:val="19"/>
        </w:rPr>
      </w:pPr>
    </w:p>
    <w:p>
      <w:pPr>
        <w:pStyle w:val="BodyText"/>
        <w:spacing w:line="312" w:lineRule="auto"/>
        <w:ind w:left="1899" w:right="710"/>
        <w:jc w:val="both"/>
      </w:pPr>
      <w:r>
        <w:rPr/>
        <w:t>Delineation</w:t>
      </w:r>
      <w:r>
        <w:rPr>
          <w:spacing w:val="-6"/>
        </w:rPr>
        <w:t> </w:t>
      </w:r>
      <w:r>
        <w:rPr/>
        <w:t>would</w:t>
      </w:r>
      <w:r>
        <w:rPr>
          <w:spacing w:val="-4"/>
        </w:rPr>
        <w:t> </w:t>
      </w:r>
      <w:r>
        <w:rPr/>
        <w:t>depend</w:t>
      </w:r>
      <w:r>
        <w:rPr>
          <w:spacing w:val="-6"/>
        </w:rPr>
        <w:t> </w:t>
      </w:r>
      <w:r>
        <w:rPr/>
        <w:t>on</w:t>
      </w:r>
      <w:r>
        <w:rPr>
          <w:spacing w:val="-6"/>
        </w:rPr>
        <w:t> </w:t>
      </w:r>
      <w:r>
        <w:rPr/>
        <w:t>whether</w:t>
      </w:r>
      <w:r>
        <w:rPr>
          <w:spacing w:val="-4"/>
        </w:rPr>
        <w:t> </w:t>
      </w:r>
      <w:r>
        <w:rPr/>
        <w:t>the</w:t>
      </w:r>
      <w:r>
        <w:rPr>
          <w:spacing w:val="-6"/>
        </w:rPr>
        <w:t> </w:t>
      </w:r>
      <w:r>
        <w:rPr/>
        <w:t>complaint</w:t>
      </w:r>
      <w:r>
        <w:rPr>
          <w:spacing w:val="-6"/>
        </w:rPr>
        <w:t> </w:t>
      </w:r>
      <w:r>
        <w:rPr/>
        <w:t>relates</w:t>
      </w:r>
      <w:r>
        <w:rPr>
          <w:spacing w:val="-8"/>
        </w:rPr>
        <w:t> </w:t>
      </w:r>
      <w:r>
        <w:rPr/>
        <w:t>to</w:t>
      </w:r>
      <w:r>
        <w:rPr>
          <w:spacing w:val="-6"/>
        </w:rPr>
        <w:t> </w:t>
      </w:r>
      <w:r>
        <w:rPr/>
        <w:t>a</w:t>
      </w:r>
      <w:r>
        <w:rPr>
          <w:spacing w:val="-9"/>
        </w:rPr>
        <w:t> </w:t>
      </w:r>
      <w:r>
        <w:rPr/>
        <w:t>matter</w:t>
      </w:r>
      <w:r>
        <w:rPr>
          <w:spacing w:val="-12"/>
        </w:rPr>
        <w:t> </w:t>
      </w:r>
      <w:r>
        <w:rPr/>
        <w:t>undertaken</w:t>
      </w:r>
      <w:r>
        <w:rPr>
          <w:spacing w:val="-13"/>
        </w:rPr>
        <w:t> </w:t>
      </w:r>
      <w:r>
        <w:rPr/>
        <w:t>by</w:t>
      </w:r>
      <w:r>
        <w:rPr>
          <w:spacing w:val="-8"/>
        </w:rPr>
        <w:t> </w:t>
      </w:r>
      <w:r>
        <w:rPr/>
        <w:t>the RSB in the discharge of its statutory functions or by one of its partners in a capacity unrelated to the</w:t>
      </w:r>
      <w:r>
        <w:rPr>
          <w:spacing w:val="5"/>
        </w:rPr>
        <w:t> </w:t>
      </w:r>
      <w:r>
        <w:rPr/>
        <w:t>RSB.</w:t>
      </w:r>
    </w:p>
    <w:p>
      <w:pPr>
        <w:pStyle w:val="BodyText"/>
        <w:spacing w:before="8"/>
        <w:rPr>
          <w:sz w:val="19"/>
        </w:rPr>
      </w:pPr>
    </w:p>
    <w:p>
      <w:pPr>
        <w:pStyle w:val="BodyText"/>
        <w:spacing w:line="312" w:lineRule="auto"/>
        <w:ind w:left="1899" w:right="712"/>
        <w:jc w:val="both"/>
      </w:pPr>
      <w:r>
        <w:rPr/>
        <w:t>The subject of the complaint is key. Where the complaint relates to one of its partners </w:t>
      </w:r>
      <w:r>
        <w:rPr>
          <w:u w:val="single"/>
        </w:rPr>
        <w:t>acting on behalf</w:t>
      </w:r>
      <w:r>
        <w:rPr/>
        <w:t> of the RSB, then this should be treated as a complaint against the RSB rather than the partner acting.</w:t>
      </w:r>
    </w:p>
    <w:p>
      <w:pPr>
        <w:pStyle w:val="BodyText"/>
        <w:spacing w:before="10"/>
        <w:rPr>
          <w:sz w:val="19"/>
        </w:rPr>
      </w:pPr>
    </w:p>
    <w:p>
      <w:pPr>
        <w:pStyle w:val="Heading2"/>
        <w:numPr>
          <w:ilvl w:val="0"/>
          <w:numId w:val="5"/>
        </w:numPr>
        <w:tabs>
          <w:tab w:pos="1930" w:val="left" w:leader="none"/>
          <w:tab w:pos="1931" w:val="left" w:leader="none"/>
        </w:tabs>
        <w:spacing w:line="312" w:lineRule="auto" w:before="0" w:after="0"/>
        <w:ind w:left="1930" w:right="630" w:hanging="852"/>
        <w:jc w:val="left"/>
      </w:pPr>
      <w:r>
        <w:rPr/>
        <w:t>What are the legal liabilities of a Regional Safeguarding Board member acting in that capacity as opposed to representing their own</w:t>
      </w:r>
      <w:r>
        <w:rPr>
          <w:spacing w:val="-17"/>
        </w:rPr>
        <w:t> </w:t>
      </w:r>
      <w:r>
        <w:rPr/>
        <w:t>agency?</w:t>
      </w:r>
    </w:p>
    <w:p>
      <w:pPr>
        <w:pStyle w:val="BodyText"/>
        <w:spacing w:before="10"/>
        <w:rPr>
          <w:b/>
          <w:sz w:val="19"/>
        </w:rPr>
      </w:pPr>
    </w:p>
    <w:p>
      <w:pPr>
        <w:pStyle w:val="BodyText"/>
        <w:spacing w:line="312" w:lineRule="auto"/>
        <w:ind w:left="1930" w:right="627"/>
        <w:jc w:val="both"/>
      </w:pPr>
      <w:r>
        <w:rPr/>
        <w:t>The potential legal liability of a constituent “Safeguarding Board partner”  (section  134(2)) remains that of the individual partner itself, for example the local authority or Chief Officer of Police.</w:t>
      </w:r>
    </w:p>
    <w:p>
      <w:pPr>
        <w:pStyle w:val="BodyText"/>
        <w:spacing w:before="8"/>
        <w:rPr>
          <w:sz w:val="19"/>
        </w:rPr>
      </w:pPr>
    </w:p>
    <w:p>
      <w:pPr>
        <w:pStyle w:val="BodyText"/>
        <w:spacing w:line="314" w:lineRule="auto"/>
        <w:ind w:left="1899" w:right="711" w:firstLine="31"/>
        <w:jc w:val="both"/>
      </w:pPr>
      <w:r>
        <w:rPr/>
        <w:t>As set out in the statutory guidance, “Working Together to Safeguard People, Volume I – Introduction and Overview” under the heading, “Accountability”:</w:t>
      </w:r>
    </w:p>
    <w:p>
      <w:pPr>
        <w:pStyle w:val="BodyText"/>
        <w:rPr>
          <w:sz w:val="20"/>
        </w:rPr>
      </w:pPr>
    </w:p>
    <w:p>
      <w:pPr>
        <w:pStyle w:val="BodyText"/>
        <w:spacing w:before="9"/>
        <w:rPr>
          <w:sz w:val="17"/>
        </w:rPr>
      </w:pPr>
      <w:r>
        <w:rPr/>
        <w:pict>
          <v:rect style="position:absolute;margin-left:70.944pt;margin-top:12.762436pt;width:144.020pt;height:.47998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6"/>
        </w:numPr>
        <w:tabs>
          <w:tab w:pos="1930" w:val="left" w:leader="none"/>
          <w:tab w:pos="1931" w:val="left" w:leader="none"/>
        </w:tabs>
        <w:spacing w:line="240" w:lineRule="auto" w:before="56" w:after="0"/>
        <w:ind w:left="1930" w:right="0" w:hanging="853"/>
        <w:jc w:val="left"/>
        <w:rPr>
          <w:rFonts w:ascii="Tahoma"/>
          <w:sz w:val="16"/>
        </w:rPr>
      </w:pPr>
      <w:r>
        <w:rPr>
          <w:rFonts w:ascii="Tahoma"/>
          <w:sz w:val="16"/>
        </w:rPr>
        <w:t>Replaced by the Data Protection Act</w:t>
      </w:r>
      <w:r>
        <w:rPr>
          <w:rFonts w:ascii="Tahoma"/>
          <w:spacing w:val="-5"/>
          <w:sz w:val="16"/>
        </w:rPr>
        <w:t> </w:t>
      </w:r>
      <w:r>
        <w:rPr>
          <w:rFonts w:ascii="Tahoma"/>
          <w:sz w:val="16"/>
        </w:rPr>
        <w:t>2018</w:t>
      </w:r>
    </w:p>
    <w:p>
      <w:pPr>
        <w:spacing w:after="0" w:line="240" w:lineRule="auto"/>
        <w:jc w:val="left"/>
        <w:rPr>
          <w:rFonts w:ascii="Tahoma"/>
          <w:sz w:val="16"/>
        </w:rPr>
        <w:sectPr>
          <w:pgSz w:w="11910" w:h="16850"/>
          <w:pgMar w:header="0" w:footer="643" w:top="1340" w:bottom="840" w:left="340" w:right="780"/>
        </w:sectPr>
      </w:pPr>
    </w:p>
    <w:p>
      <w:pPr>
        <w:spacing w:line="312" w:lineRule="auto" w:before="79"/>
        <w:ind w:left="1899" w:right="711" w:firstLine="0"/>
        <w:jc w:val="both"/>
        <w:rPr>
          <w:i/>
          <w:sz w:val="18"/>
        </w:rPr>
      </w:pPr>
      <w:r>
        <w:rPr>
          <w:i/>
          <w:sz w:val="18"/>
        </w:rPr>
        <w:t>“252. Safeguarding Boards are accountable as individual Safeguarding Board members through their individual agency role to their organisation and to any relevant organisational inspectorates.”</w:t>
      </w:r>
    </w:p>
    <w:p>
      <w:pPr>
        <w:pStyle w:val="BodyText"/>
        <w:spacing w:before="8"/>
        <w:rPr>
          <w:i/>
          <w:sz w:val="19"/>
        </w:rPr>
      </w:pPr>
    </w:p>
    <w:p>
      <w:pPr>
        <w:pStyle w:val="BodyText"/>
        <w:spacing w:line="312" w:lineRule="auto"/>
        <w:ind w:left="1899" w:right="705" w:firstLine="31"/>
        <w:jc w:val="both"/>
      </w:pPr>
      <w:r>
        <w:rPr/>
        <w:t>In practical terms, we would not anticipate any difficulty with this proposition as it is difficult to conceive of a situation in which an individual partner might contend that potential</w:t>
      </w:r>
      <w:r>
        <w:rPr>
          <w:spacing w:val="-6"/>
        </w:rPr>
        <w:t> </w:t>
      </w:r>
      <w:r>
        <w:rPr/>
        <w:t>liability</w:t>
      </w:r>
      <w:r>
        <w:rPr>
          <w:spacing w:val="-3"/>
        </w:rPr>
        <w:t> </w:t>
      </w:r>
      <w:r>
        <w:rPr/>
        <w:t>attaches</w:t>
      </w:r>
      <w:r>
        <w:rPr>
          <w:spacing w:val="-6"/>
        </w:rPr>
        <w:t> </w:t>
      </w:r>
      <w:r>
        <w:rPr/>
        <w:t>to</w:t>
      </w:r>
      <w:r>
        <w:rPr>
          <w:spacing w:val="-6"/>
        </w:rPr>
        <w:t> </w:t>
      </w:r>
      <w:r>
        <w:rPr/>
        <w:t>the</w:t>
      </w:r>
      <w:r>
        <w:rPr>
          <w:spacing w:val="-4"/>
        </w:rPr>
        <w:t> </w:t>
      </w:r>
      <w:r>
        <w:rPr/>
        <w:t>discharge</w:t>
      </w:r>
      <w:r>
        <w:rPr>
          <w:spacing w:val="-3"/>
        </w:rPr>
        <w:t> </w:t>
      </w:r>
      <w:r>
        <w:rPr/>
        <w:t>of</w:t>
      </w:r>
      <w:r>
        <w:rPr>
          <w:spacing w:val="-3"/>
        </w:rPr>
        <w:t> </w:t>
      </w:r>
      <w:r>
        <w:rPr/>
        <w:t>its</w:t>
      </w:r>
      <w:r>
        <w:rPr>
          <w:spacing w:val="-5"/>
        </w:rPr>
        <w:t> </w:t>
      </w:r>
      <w:r>
        <w:rPr/>
        <w:t>functions</w:t>
      </w:r>
      <w:r>
        <w:rPr>
          <w:spacing w:val="-6"/>
        </w:rPr>
        <w:t> </w:t>
      </w:r>
      <w:r>
        <w:rPr/>
        <w:t>on</w:t>
      </w:r>
      <w:r>
        <w:rPr>
          <w:spacing w:val="-3"/>
        </w:rPr>
        <w:t> </w:t>
      </w:r>
      <w:r>
        <w:rPr/>
        <w:t>behalf</w:t>
      </w:r>
      <w:r>
        <w:rPr>
          <w:spacing w:val="-2"/>
        </w:rPr>
        <w:t> </w:t>
      </w:r>
      <w:r>
        <w:rPr/>
        <w:t>of</w:t>
      </w:r>
      <w:r>
        <w:rPr>
          <w:spacing w:val="-3"/>
        </w:rPr>
        <w:t> </w:t>
      </w:r>
      <w:r>
        <w:rPr/>
        <w:t>the</w:t>
      </w:r>
      <w:r>
        <w:rPr>
          <w:spacing w:val="-1"/>
        </w:rPr>
        <w:t> </w:t>
      </w:r>
      <w:r>
        <w:rPr/>
        <w:t>RSB, but</w:t>
      </w:r>
      <w:r>
        <w:rPr>
          <w:spacing w:val="2"/>
        </w:rPr>
        <w:t> </w:t>
      </w:r>
      <w:r>
        <w:rPr>
          <w:spacing w:val="-2"/>
        </w:rPr>
        <w:t>not </w:t>
      </w:r>
      <w:r>
        <w:rPr/>
        <w:t>in its</w:t>
      </w:r>
      <w:r>
        <w:rPr>
          <w:spacing w:val="-15"/>
        </w:rPr>
        <w:t> </w:t>
      </w:r>
      <w:r>
        <w:rPr/>
        <w:t>own</w:t>
      </w:r>
      <w:r>
        <w:rPr>
          <w:spacing w:val="-10"/>
        </w:rPr>
        <w:t> </w:t>
      </w:r>
      <w:r>
        <w:rPr/>
        <w:t>capacity.</w:t>
      </w:r>
      <w:r>
        <w:rPr>
          <w:spacing w:val="-7"/>
        </w:rPr>
        <w:t> </w:t>
      </w:r>
      <w:r>
        <w:rPr/>
        <w:t>It</w:t>
      </w:r>
      <w:r>
        <w:rPr>
          <w:spacing w:val="-7"/>
        </w:rPr>
        <w:t> </w:t>
      </w:r>
      <w:r>
        <w:rPr/>
        <w:t>would</w:t>
      </w:r>
      <w:r>
        <w:rPr>
          <w:spacing w:val="-9"/>
        </w:rPr>
        <w:t> </w:t>
      </w:r>
      <w:r>
        <w:rPr/>
        <w:t>obviously</w:t>
      </w:r>
      <w:r>
        <w:rPr>
          <w:spacing w:val="-13"/>
        </w:rPr>
        <w:t> </w:t>
      </w:r>
      <w:r>
        <w:rPr/>
        <w:t>be</w:t>
      </w:r>
      <w:r>
        <w:rPr>
          <w:spacing w:val="-8"/>
        </w:rPr>
        <w:t> </w:t>
      </w:r>
      <w:r>
        <w:rPr/>
        <w:t>a</w:t>
      </w:r>
      <w:r>
        <w:rPr>
          <w:spacing w:val="-9"/>
        </w:rPr>
        <w:t> </w:t>
      </w:r>
      <w:r>
        <w:rPr/>
        <w:t>defence</w:t>
      </w:r>
      <w:r>
        <w:rPr>
          <w:spacing w:val="-14"/>
        </w:rPr>
        <w:t> </w:t>
      </w:r>
      <w:r>
        <w:rPr/>
        <w:t>for</w:t>
      </w:r>
      <w:r>
        <w:rPr>
          <w:spacing w:val="-9"/>
        </w:rPr>
        <w:t> </w:t>
      </w:r>
      <w:r>
        <w:rPr/>
        <w:t>a</w:t>
      </w:r>
      <w:r>
        <w:rPr>
          <w:spacing w:val="-9"/>
        </w:rPr>
        <w:t> </w:t>
      </w:r>
      <w:r>
        <w:rPr/>
        <w:t>Safeguarding</w:t>
      </w:r>
      <w:r>
        <w:rPr>
          <w:spacing w:val="-7"/>
        </w:rPr>
        <w:t> </w:t>
      </w:r>
      <w:r>
        <w:rPr/>
        <w:t>Board</w:t>
      </w:r>
      <w:r>
        <w:rPr>
          <w:spacing w:val="-9"/>
        </w:rPr>
        <w:t> </w:t>
      </w:r>
      <w:r>
        <w:rPr/>
        <w:t>partner</w:t>
      </w:r>
      <w:r>
        <w:rPr>
          <w:spacing w:val="-13"/>
        </w:rPr>
        <w:t> </w:t>
      </w:r>
      <w:r>
        <w:rPr/>
        <w:t>to</w:t>
      </w:r>
      <w:r>
        <w:rPr>
          <w:spacing w:val="-13"/>
        </w:rPr>
        <w:t> </w:t>
      </w:r>
      <w:r>
        <w:rPr/>
        <w:t>point to</w:t>
      </w:r>
      <w:r>
        <w:rPr>
          <w:spacing w:val="-11"/>
        </w:rPr>
        <w:t> </w:t>
      </w:r>
      <w:r>
        <w:rPr/>
        <w:t>the</w:t>
      </w:r>
      <w:r>
        <w:rPr>
          <w:spacing w:val="-8"/>
        </w:rPr>
        <w:t> </w:t>
      </w:r>
      <w:r>
        <w:rPr/>
        <w:t>fact</w:t>
      </w:r>
      <w:r>
        <w:rPr>
          <w:spacing w:val="-6"/>
        </w:rPr>
        <w:t> </w:t>
      </w:r>
      <w:r>
        <w:rPr/>
        <w:t>it</w:t>
      </w:r>
      <w:r>
        <w:rPr>
          <w:spacing w:val="-6"/>
        </w:rPr>
        <w:t> </w:t>
      </w:r>
      <w:r>
        <w:rPr/>
        <w:t>was</w:t>
      </w:r>
      <w:r>
        <w:rPr>
          <w:spacing w:val="-9"/>
        </w:rPr>
        <w:t> </w:t>
      </w:r>
      <w:r>
        <w:rPr/>
        <w:t>acting</w:t>
      </w:r>
      <w:r>
        <w:rPr>
          <w:spacing w:val="-10"/>
        </w:rPr>
        <w:t> </w:t>
      </w:r>
      <w:r>
        <w:rPr/>
        <w:t>in</w:t>
      </w:r>
      <w:r>
        <w:rPr>
          <w:spacing w:val="-10"/>
        </w:rPr>
        <w:t> </w:t>
      </w:r>
      <w:r>
        <w:rPr/>
        <w:t>compliance</w:t>
      </w:r>
      <w:r>
        <w:rPr>
          <w:spacing w:val="-6"/>
        </w:rPr>
        <w:t> </w:t>
      </w:r>
      <w:r>
        <w:rPr/>
        <w:t>with</w:t>
      </w:r>
      <w:r>
        <w:rPr>
          <w:spacing w:val="-10"/>
        </w:rPr>
        <w:t> </w:t>
      </w:r>
      <w:r>
        <w:rPr/>
        <w:t>the</w:t>
      </w:r>
      <w:r>
        <w:rPr>
          <w:spacing w:val="-8"/>
        </w:rPr>
        <w:t> </w:t>
      </w:r>
      <w:r>
        <w:rPr/>
        <w:t>RSB’s</w:t>
      </w:r>
      <w:r>
        <w:rPr>
          <w:spacing w:val="-6"/>
        </w:rPr>
        <w:t> </w:t>
      </w:r>
      <w:r>
        <w:rPr/>
        <w:t>statutory</w:t>
      </w:r>
      <w:r>
        <w:rPr>
          <w:spacing w:val="-10"/>
        </w:rPr>
        <w:t> </w:t>
      </w:r>
      <w:r>
        <w:rPr/>
        <w:t>functions</w:t>
      </w:r>
      <w:r>
        <w:rPr>
          <w:spacing w:val="-9"/>
        </w:rPr>
        <w:t> </w:t>
      </w:r>
      <w:r>
        <w:rPr/>
        <w:t>under</w:t>
      </w:r>
      <w:r>
        <w:rPr>
          <w:spacing w:val="-11"/>
        </w:rPr>
        <w:t> </w:t>
      </w:r>
      <w:r>
        <w:rPr/>
        <w:t>the</w:t>
      </w:r>
      <w:r>
        <w:rPr>
          <w:spacing w:val="-11"/>
        </w:rPr>
        <w:t> </w:t>
      </w:r>
      <w:r>
        <w:rPr/>
        <w:t>Act</w:t>
      </w:r>
      <w:r>
        <w:rPr>
          <w:spacing w:val="-8"/>
        </w:rPr>
        <w:t> </w:t>
      </w:r>
      <w:r>
        <w:rPr/>
        <w:t>and underlying</w:t>
      </w:r>
      <w:r>
        <w:rPr>
          <w:spacing w:val="1"/>
        </w:rPr>
        <w:t> </w:t>
      </w:r>
      <w:r>
        <w:rPr/>
        <w:t>Regulations.</w:t>
      </w:r>
    </w:p>
    <w:p>
      <w:pPr>
        <w:pStyle w:val="BodyText"/>
        <w:spacing w:before="9"/>
        <w:rPr>
          <w:sz w:val="19"/>
        </w:rPr>
      </w:pPr>
    </w:p>
    <w:p>
      <w:pPr>
        <w:pStyle w:val="Heading2"/>
        <w:numPr>
          <w:ilvl w:val="0"/>
          <w:numId w:val="5"/>
        </w:numPr>
        <w:tabs>
          <w:tab w:pos="1930" w:val="left" w:leader="none"/>
          <w:tab w:pos="1931" w:val="left" w:leader="none"/>
        </w:tabs>
        <w:spacing w:line="314" w:lineRule="auto" w:before="0" w:after="0"/>
        <w:ind w:left="1930" w:right="630" w:hanging="852"/>
        <w:jc w:val="left"/>
      </w:pPr>
      <w:r>
        <w:rPr/>
        <w:t>What is the status of historic information held by the </w:t>
      </w:r>
      <w:r>
        <w:rPr>
          <w:spacing w:val="-4"/>
        </w:rPr>
        <w:t>now </w:t>
      </w:r>
      <w:r>
        <w:rPr/>
        <w:t>ended local boards and newly formed Regional Safeguarding</w:t>
      </w:r>
      <w:r>
        <w:rPr>
          <w:spacing w:val="-5"/>
        </w:rPr>
        <w:t> </w:t>
      </w:r>
      <w:r>
        <w:rPr/>
        <w:t>Boards?</w:t>
      </w:r>
    </w:p>
    <w:p>
      <w:pPr>
        <w:pStyle w:val="BodyText"/>
        <w:spacing w:before="5"/>
        <w:rPr>
          <w:b/>
          <w:sz w:val="19"/>
        </w:rPr>
      </w:pPr>
    </w:p>
    <w:p>
      <w:pPr>
        <w:pStyle w:val="BodyText"/>
        <w:spacing w:line="312" w:lineRule="auto" w:before="1"/>
        <w:ind w:left="1930" w:right="628"/>
        <w:jc w:val="both"/>
      </w:pPr>
      <w:r>
        <w:rPr/>
        <w:t>For the reasons rehearsed under questions 3 and 4 above, this historic information, whether as originally held by the local boards or now held  by  the RSB, is  not  susceptible to disclosure under the</w:t>
      </w:r>
      <w:r>
        <w:rPr>
          <w:spacing w:val="-13"/>
        </w:rPr>
        <w:t> </w:t>
      </w:r>
      <w:r>
        <w:rPr/>
        <w:t>FOIA.</w:t>
      </w:r>
    </w:p>
    <w:p>
      <w:pPr>
        <w:pStyle w:val="BodyText"/>
        <w:spacing w:before="10"/>
        <w:rPr>
          <w:sz w:val="19"/>
        </w:rPr>
      </w:pPr>
    </w:p>
    <w:p>
      <w:pPr>
        <w:pStyle w:val="BodyText"/>
        <w:spacing w:line="312" w:lineRule="auto"/>
        <w:ind w:left="1930" w:right="630"/>
        <w:jc w:val="both"/>
      </w:pPr>
      <w:r>
        <w:rPr/>
        <w:t>Whilst the statutory framework has changed, given that the information would not have come within FOI during the existence of the local boards as referred to above, we cannot see how it can now do so following their replacement by RSBs given the content of the Act and </w:t>
      </w:r>
      <w:r>
        <w:rPr>
          <w:u w:val="single"/>
        </w:rPr>
        <w:t>The Safeguarding Boards (Functions and Procedures) (Wales) Regulations 2015.</w:t>
      </w:r>
    </w:p>
    <w:p>
      <w:pPr>
        <w:pStyle w:val="BodyText"/>
        <w:spacing w:before="6"/>
        <w:rPr>
          <w:sz w:val="11"/>
        </w:rPr>
      </w:pPr>
    </w:p>
    <w:p>
      <w:pPr>
        <w:pStyle w:val="BodyText"/>
        <w:spacing w:line="312" w:lineRule="auto" w:before="100"/>
        <w:ind w:left="1930" w:right="641"/>
        <w:jc w:val="both"/>
      </w:pPr>
      <w:r>
        <w:rPr/>
        <w:t>Whether or not information is treated as belonging to the RSBs or remaining within the local board, in the absence of either entity being identified as a public authority within the FOIA, our advice in respect of points 3 and 4 above remains.</w:t>
      </w:r>
    </w:p>
    <w:p>
      <w:pPr>
        <w:pStyle w:val="BodyText"/>
        <w:spacing w:before="8"/>
        <w:rPr>
          <w:sz w:val="19"/>
        </w:rPr>
      </w:pPr>
    </w:p>
    <w:p>
      <w:pPr>
        <w:pStyle w:val="Heading2"/>
        <w:numPr>
          <w:ilvl w:val="0"/>
          <w:numId w:val="5"/>
        </w:numPr>
        <w:tabs>
          <w:tab w:pos="1930" w:val="left" w:leader="none"/>
          <w:tab w:pos="1931" w:val="left" w:leader="none"/>
        </w:tabs>
        <w:spacing w:line="314" w:lineRule="auto" w:before="1" w:after="0"/>
        <w:ind w:left="1930" w:right="633" w:hanging="852"/>
        <w:jc w:val="left"/>
      </w:pPr>
      <w:r>
        <w:rPr/>
        <w:t>What would a model Regional Safeguarding Boards complaints procedure look like? Who would have the right to</w:t>
      </w:r>
      <w:r>
        <w:rPr>
          <w:spacing w:val="-5"/>
        </w:rPr>
        <w:t> </w:t>
      </w:r>
      <w:r>
        <w:rPr/>
        <w:t>complain?</w:t>
      </w:r>
    </w:p>
    <w:p>
      <w:pPr>
        <w:pStyle w:val="BodyText"/>
        <w:spacing w:before="4"/>
        <w:rPr>
          <w:b/>
          <w:sz w:val="19"/>
        </w:rPr>
      </w:pPr>
    </w:p>
    <w:p>
      <w:pPr>
        <w:pStyle w:val="BodyText"/>
        <w:spacing w:line="314" w:lineRule="auto"/>
        <w:ind w:left="1930" w:right="631"/>
        <w:jc w:val="both"/>
      </w:pPr>
      <w:r>
        <w:rPr/>
        <w:t>In terms of the contents of a model complaints procedure for an RSB we would note the following points of general application:</w:t>
      </w:r>
    </w:p>
    <w:p>
      <w:pPr>
        <w:pStyle w:val="BodyText"/>
        <w:spacing w:before="5"/>
        <w:rPr>
          <w:sz w:val="19"/>
        </w:rPr>
      </w:pPr>
    </w:p>
    <w:p>
      <w:pPr>
        <w:pStyle w:val="ListParagraph"/>
        <w:numPr>
          <w:ilvl w:val="1"/>
          <w:numId w:val="6"/>
        </w:numPr>
        <w:tabs>
          <w:tab w:pos="2921" w:val="left" w:leader="none"/>
          <w:tab w:pos="2922" w:val="left" w:leader="none"/>
        </w:tabs>
        <w:spacing w:line="312" w:lineRule="auto" w:before="0" w:after="0"/>
        <w:ind w:left="2922" w:right="635" w:hanging="992"/>
        <w:jc w:val="both"/>
        <w:rPr>
          <w:sz w:val="18"/>
        </w:rPr>
      </w:pPr>
      <w:r>
        <w:rPr>
          <w:sz w:val="18"/>
        </w:rPr>
        <w:t>A complaints procedure should be available to any person affected by the exercise</w:t>
      </w:r>
      <w:r>
        <w:rPr>
          <w:spacing w:val="-12"/>
          <w:sz w:val="18"/>
        </w:rPr>
        <w:t> </w:t>
      </w:r>
      <w:r>
        <w:rPr>
          <w:sz w:val="18"/>
        </w:rPr>
        <w:t>of</w:t>
      </w:r>
      <w:r>
        <w:rPr>
          <w:spacing w:val="-8"/>
          <w:sz w:val="18"/>
        </w:rPr>
        <w:t> </w:t>
      </w:r>
      <w:r>
        <w:rPr>
          <w:sz w:val="18"/>
        </w:rPr>
        <w:t>an</w:t>
      </w:r>
      <w:r>
        <w:rPr>
          <w:spacing w:val="-14"/>
          <w:sz w:val="18"/>
        </w:rPr>
        <w:t> </w:t>
      </w:r>
      <w:r>
        <w:rPr>
          <w:sz w:val="18"/>
        </w:rPr>
        <w:t>RSB’s</w:t>
      </w:r>
      <w:r>
        <w:rPr>
          <w:spacing w:val="-12"/>
          <w:sz w:val="18"/>
        </w:rPr>
        <w:t> </w:t>
      </w:r>
      <w:r>
        <w:rPr>
          <w:sz w:val="18"/>
        </w:rPr>
        <w:t>functions</w:t>
      </w:r>
      <w:r>
        <w:rPr>
          <w:spacing w:val="-12"/>
          <w:sz w:val="18"/>
        </w:rPr>
        <w:t> </w:t>
      </w:r>
      <w:r>
        <w:rPr>
          <w:sz w:val="18"/>
        </w:rPr>
        <w:t>–</w:t>
      </w:r>
      <w:r>
        <w:rPr>
          <w:spacing w:val="-12"/>
          <w:sz w:val="18"/>
        </w:rPr>
        <w:t> </w:t>
      </w:r>
      <w:r>
        <w:rPr>
          <w:sz w:val="18"/>
        </w:rPr>
        <w:t>i.e.</w:t>
      </w:r>
      <w:r>
        <w:rPr>
          <w:spacing w:val="-11"/>
          <w:sz w:val="18"/>
        </w:rPr>
        <w:t> </w:t>
      </w:r>
      <w:r>
        <w:rPr>
          <w:sz w:val="18"/>
        </w:rPr>
        <w:t>those</w:t>
      </w:r>
      <w:r>
        <w:rPr>
          <w:spacing w:val="-12"/>
          <w:sz w:val="18"/>
        </w:rPr>
        <w:t> </w:t>
      </w:r>
      <w:r>
        <w:rPr>
          <w:sz w:val="18"/>
        </w:rPr>
        <w:t>affected</w:t>
      </w:r>
      <w:r>
        <w:rPr>
          <w:spacing w:val="-11"/>
          <w:sz w:val="18"/>
        </w:rPr>
        <w:t> </w:t>
      </w:r>
      <w:r>
        <w:rPr>
          <w:sz w:val="18"/>
        </w:rPr>
        <w:t>by</w:t>
      </w:r>
      <w:r>
        <w:rPr>
          <w:spacing w:val="-11"/>
          <w:sz w:val="18"/>
        </w:rPr>
        <w:t> </w:t>
      </w:r>
      <w:r>
        <w:rPr>
          <w:sz w:val="18"/>
        </w:rPr>
        <w:t>any</w:t>
      </w:r>
      <w:r>
        <w:rPr>
          <w:spacing w:val="-11"/>
          <w:sz w:val="18"/>
        </w:rPr>
        <w:t> </w:t>
      </w:r>
      <w:r>
        <w:rPr>
          <w:sz w:val="18"/>
        </w:rPr>
        <w:t>step</w:t>
      </w:r>
      <w:r>
        <w:rPr>
          <w:spacing w:val="-11"/>
          <w:sz w:val="18"/>
        </w:rPr>
        <w:t> </w:t>
      </w:r>
      <w:r>
        <w:rPr>
          <w:sz w:val="18"/>
        </w:rPr>
        <w:t>taken</w:t>
      </w:r>
      <w:r>
        <w:rPr>
          <w:spacing w:val="-14"/>
          <w:sz w:val="18"/>
        </w:rPr>
        <w:t> </w:t>
      </w:r>
      <w:r>
        <w:rPr>
          <w:sz w:val="18"/>
        </w:rPr>
        <w:t>by</w:t>
      </w:r>
      <w:r>
        <w:rPr>
          <w:spacing w:val="-11"/>
          <w:sz w:val="18"/>
        </w:rPr>
        <w:t> </w:t>
      </w:r>
      <w:r>
        <w:rPr>
          <w:sz w:val="18"/>
        </w:rPr>
        <w:t>the</w:t>
      </w:r>
      <w:r>
        <w:rPr>
          <w:spacing w:val="-9"/>
          <w:sz w:val="18"/>
        </w:rPr>
        <w:t> </w:t>
      </w:r>
      <w:r>
        <w:rPr>
          <w:sz w:val="18"/>
        </w:rPr>
        <w:t>RSB would potentially have the right to</w:t>
      </w:r>
      <w:r>
        <w:rPr>
          <w:spacing w:val="-4"/>
          <w:sz w:val="18"/>
        </w:rPr>
        <w:t> </w:t>
      </w:r>
      <w:r>
        <w:rPr>
          <w:sz w:val="18"/>
        </w:rPr>
        <w:t>complain.</w:t>
      </w:r>
    </w:p>
    <w:p>
      <w:pPr>
        <w:pStyle w:val="BodyText"/>
        <w:spacing w:before="10"/>
        <w:rPr>
          <w:sz w:val="19"/>
        </w:rPr>
      </w:pPr>
    </w:p>
    <w:p>
      <w:pPr>
        <w:pStyle w:val="ListParagraph"/>
        <w:numPr>
          <w:ilvl w:val="1"/>
          <w:numId w:val="6"/>
        </w:numPr>
        <w:tabs>
          <w:tab w:pos="2921" w:val="left" w:leader="none"/>
          <w:tab w:pos="2922" w:val="left" w:leader="none"/>
        </w:tabs>
        <w:spacing w:line="312" w:lineRule="auto" w:before="0" w:after="0"/>
        <w:ind w:left="2922" w:right="628" w:hanging="992"/>
        <w:jc w:val="both"/>
        <w:rPr>
          <w:sz w:val="18"/>
        </w:rPr>
      </w:pPr>
      <w:r>
        <w:rPr>
          <w:sz w:val="18"/>
        </w:rPr>
        <w:t>An RSB’s complaints procedure could be devised under regulation 5 of </w:t>
      </w:r>
      <w:r>
        <w:rPr>
          <w:sz w:val="18"/>
          <w:u w:val="single"/>
        </w:rPr>
        <w:t>The Safeguarding Boards (Functions and Procedures) (Wales) Regulations 2015</w:t>
      </w:r>
      <w:r>
        <w:rPr>
          <w:sz w:val="18"/>
        </w:rPr>
        <w:t>, by which an RSB can determine its own procedures and make the same publicly available.</w:t>
      </w:r>
    </w:p>
    <w:p>
      <w:pPr>
        <w:pStyle w:val="BodyText"/>
        <w:spacing w:before="9"/>
        <w:rPr>
          <w:sz w:val="19"/>
        </w:rPr>
      </w:pPr>
    </w:p>
    <w:p>
      <w:pPr>
        <w:pStyle w:val="ListParagraph"/>
        <w:numPr>
          <w:ilvl w:val="1"/>
          <w:numId w:val="6"/>
        </w:numPr>
        <w:tabs>
          <w:tab w:pos="2921" w:val="left" w:leader="none"/>
          <w:tab w:pos="2922" w:val="left" w:leader="none"/>
        </w:tabs>
        <w:spacing w:line="309" w:lineRule="auto" w:before="0" w:after="0"/>
        <w:ind w:left="2922" w:right="630" w:hanging="992"/>
        <w:jc w:val="both"/>
        <w:rPr>
          <w:sz w:val="18"/>
        </w:rPr>
      </w:pPr>
      <w:r>
        <w:rPr>
          <w:sz w:val="18"/>
        </w:rPr>
        <w:t>A complaint could be directed to the “lead partner” whether in relation to children or adults (section</w:t>
      </w:r>
      <w:r>
        <w:rPr>
          <w:spacing w:val="-7"/>
          <w:sz w:val="18"/>
        </w:rPr>
        <w:t> </w:t>
      </w:r>
      <w:r>
        <w:rPr>
          <w:sz w:val="18"/>
        </w:rPr>
        <w:t>134(3)).</w:t>
      </w:r>
    </w:p>
    <w:p>
      <w:pPr>
        <w:pStyle w:val="BodyText"/>
        <w:spacing w:before="1"/>
        <w:rPr>
          <w:sz w:val="20"/>
        </w:rPr>
      </w:pPr>
    </w:p>
    <w:p>
      <w:pPr>
        <w:pStyle w:val="ListParagraph"/>
        <w:numPr>
          <w:ilvl w:val="1"/>
          <w:numId w:val="6"/>
        </w:numPr>
        <w:tabs>
          <w:tab w:pos="2921" w:val="left" w:leader="none"/>
          <w:tab w:pos="2922" w:val="left" w:leader="none"/>
        </w:tabs>
        <w:spacing w:line="312" w:lineRule="auto" w:before="0" w:after="0"/>
        <w:ind w:left="2922" w:right="629" w:hanging="992"/>
        <w:jc w:val="both"/>
        <w:rPr>
          <w:sz w:val="18"/>
        </w:rPr>
      </w:pPr>
      <w:r>
        <w:rPr>
          <w:sz w:val="18"/>
        </w:rPr>
        <w:t>If a complaint is directed at an individual “Safeguarding Board partner”</w:t>
      </w:r>
      <w:r>
        <w:rPr>
          <w:spacing w:val="-45"/>
          <w:sz w:val="18"/>
        </w:rPr>
        <w:t> </w:t>
      </w:r>
      <w:r>
        <w:rPr>
          <w:sz w:val="18"/>
        </w:rPr>
        <w:t>(section 134(2)) using that organisation’s own complaints procedure, and if that complaint in fact relates to an RSB in the exercise of its functions, such complaint should instead be treated by the RSB under its own complaints procedure.</w:t>
      </w:r>
      <w:r>
        <w:rPr>
          <w:spacing w:val="27"/>
          <w:sz w:val="18"/>
        </w:rPr>
        <w:t> </w:t>
      </w:r>
      <w:r>
        <w:rPr>
          <w:sz w:val="18"/>
        </w:rPr>
        <w:t>A</w:t>
      </w:r>
      <w:r>
        <w:rPr>
          <w:spacing w:val="-15"/>
          <w:sz w:val="18"/>
        </w:rPr>
        <w:t> </w:t>
      </w:r>
      <w:r>
        <w:rPr>
          <w:sz w:val="18"/>
        </w:rPr>
        <w:t>communication</w:t>
      </w:r>
      <w:r>
        <w:rPr>
          <w:spacing w:val="-19"/>
          <w:sz w:val="18"/>
        </w:rPr>
        <w:t> </w:t>
      </w:r>
      <w:r>
        <w:rPr>
          <w:sz w:val="18"/>
        </w:rPr>
        <w:t>should</w:t>
      </w:r>
      <w:r>
        <w:rPr>
          <w:spacing w:val="-17"/>
          <w:sz w:val="18"/>
        </w:rPr>
        <w:t> </w:t>
      </w:r>
      <w:r>
        <w:rPr>
          <w:sz w:val="18"/>
        </w:rPr>
        <w:t>be</w:t>
      </w:r>
      <w:r>
        <w:rPr>
          <w:spacing w:val="-15"/>
          <w:sz w:val="18"/>
        </w:rPr>
        <w:t> </w:t>
      </w:r>
      <w:r>
        <w:rPr>
          <w:sz w:val="18"/>
        </w:rPr>
        <w:t>sent</w:t>
      </w:r>
      <w:r>
        <w:rPr>
          <w:spacing w:val="-16"/>
          <w:sz w:val="18"/>
        </w:rPr>
        <w:t> </w:t>
      </w:r>
      <w:r>
        <w:rPr>
          <w:sz w:val="18"/>
        </w:rPr>
        <w:t>to</w:t>
      </w:r>
      <w:r>
        <w:rPr>
          <w:spacing w:val="-17"/>
          <w:sz w:val="18"/>
        </w:rPr>
        <w:t> </w:t>
      </w:r>
      <w:r>
        <w:rPr>
          <w:sz w:val="18"/>
        </w:rPr>
        <w:t>the</w:t>
      </w:r>
      <w:r>
        <w:rPr>
          <w:spacing w:val="-15"/>
          <w:sz w:val="18"/>
        </w:rPr>
        <w:t> </w:t>
      </w:r>
      <w:r>
        <w:rPr>
          <w:sz w:val="18"/>
        </w:rPr>
        <w:t>individual</w:t>
      </w:r>
      <w:r>
        <w:rPr>
          <w:spacing w:val="-17"/>
          <w:sz w:val="18"/>
        </w:rPr>
        <w:t> </w:t>
      </w:r>
      <w:r>
        <w:rPr>
          <w:sz w:val="18"/>
        </w:rPr>
        <w:t>concerned</w:t>
      </w:r>
      <w:r>
        <w:rPr>
          <w:spacing w:val="-17"/>
          <w:sz w:val="18"/>
        </w:rPr>
        <w:t> </w:t>
      </w:r>
      <w:r>
        <w:rPr>
          <w:sz w:val="18"/>
        </w:rPr>
        <w:t>advising them of</w:t>
      </w:r>
      <w:r>
        <w:rPr>
          <w:spacing w:val="-4"/>
          <w:sz w:val="18"/>
        </w:rPr>
        <w:t> </w:t>
      </w:r>
      <w:r>
        <w:rPr>
          <w:sz w:val="18"/>
        </w:rPr>
        <w:t>this.</w:t>
      </w:r>
    </w:p>
    <w:p>
      <w:pPr>
        <w:spacing w:after="0" w:line="312" w:lineRule="auto"/>
        <w:jc w:val="both"/>
        <w:rPr>
          <w:sz w:val="18"/>
        </w:rPr>
        <w:sectPr>
          <w:pgSz w:w="11910" w:h="16850"/>
          <w:pgMar w:header="0" w:footer="643" w:top="1340" w:bottom="840" w:left="340" w:right="780"/>
        </w:sectPr>
      </w:pPr>
    </w:p>
    <w:p>
      <w:pPr>
        <w:pStyle w:val="ListParagraph"/>
        <w:numPr>
          <w:ilvl w:val="1"/>
          <w:numId w:val="6"/>
        </w:numPr>
        <w:tabs>
          <w:tab w:pos="2921" w:val="left" w:leader="none"/>
          <w:tab w:pos="2922" w:val="left" w:leader="none"/>
        </w:tabs>
        <w:spacing w:line="312" w:lineRule="auto" w:before="79" w:after="0"/>
        <w:ind w:left="2922" w:right="630" w:hanging="992"/>
        <w:jc w:val="both"/>
        <w:rPr>
          <w:sz w:val="18"/>
        </w:rPr>
      </w:pPr>
      <w:r>
        <w:rPr>
          <w:sz w:val="18"/>
        </w:rPr>
        <w:t>Similarly, a complaint directed to an individual “Safeguarding Board partner” which</w:t>
      </w:r>
      <w:r>
        <w:rPr>
          <w:spacing w:val="-8"/>
          <w:sz w:val="18"/>
        </w:rPr>
        <w:t> </w:t>
      </w:r>
      <w:r>
        <w:rPr>
          <w:sz w:val="18"/>
        </w:rPr>
        <w:t>does</w:t>
      </w:r>
      <w:r>
        <w:rPr>
          <w:spacing w:val="-6"/>
          <w:sz w:val="18"/>
        </w:rPr>
        <w:t> </w:t>
      </w:r>
      <w:r>
        <w:rPr>
          <w:sz w:val="18"/>
        </w:rPr>
        <w:t>not</w:t>
      </w:r>
      <w:r>
        <w:rPr>
          <w:spacing w:val="-5"/>
          <w:sz w:val="18"/>
        </w:rPr>
        <w:t> </w:t>
      </w:r>
      <w:r>
        <w:rPr>
          <w:sz w:val="18"/>
        </w:rPr>
        <w:t>relate</w:t>
      </w:r>
      <w:r>
        <w:rPr>
          <w:spacing w:val="-8"/>
          <w:sz w:val="18"/>
        </w:rPr>
        <w:t> </w:t>
      </w:r>
      <w:r>
        <w:rPr>
          <w:sz w:val="18"/>
        </w:rPr>
        <w:t>to</w:t>
      </w:r>
      <w:r>
        <w:rPr>
          <w:spacing w:val="-7"/>
          <w:sz w:val="18"/>
        </w:rPr>
        <w:t> </w:t>
      </w:r>
      <w:r>
        <w:rPr>
          <w:sz w:val="18"/>
        </w:rPr>
        <w:t>the</w:t>
      </w:r>
      <w:r>
        <w:rPr>
          <w:spacing w:val="-5"/>
          <w:sz w:val="18"/>
        </w:rPr>
        <w:t> </w:t>
      </w:r>
      <w:r>
        <w:rPr>
          <w:sz w:val="18"/>
        </w:rPr>
        <w:t>RSB’s</w:t>
      </w:r>
      <w:r>
        <w:rPr>
          <w:spacing w:val="-6"/>
          <w:sz w:val="18"/>
        </w:rPr>
        <w:t> </w:t>
      </w:r>
      <w:r>
        <w:rPr>
          <w:sz w:val="18"/>
        </w:rPr>
        <w:t>exercise</w:t>
      </w:r>
      <w:r>
        <w:rPr>
          <w:spacing w:val="-5"/>
          <w:sz w:val="18"/>
        </w:rPr>
        <w:t> </w:t>
      </w:r>
      <w:r>
        <w:rPr>
          <w:sz w:val="18"/>
        </w:rPr>
        <w:t>of</w:t>
      </w:r>
      <w:r>
        <w:rPr>
          <w:spacing w:val="-7"/>
          <w:sz w:val="18"/>
        </w:rPr>
        <w:t> </w:t>
      </w:r>
      <w:r>
        <w:rPr>
          <w:sz w:val="18"/>
        </w:rPr>
        <w:t>its</w:t>
      </w:r>
      <w:r>
        <w:rPr>
          <w:spacing w:val="-11"/>
          <w:sz w:val="18"/>
        </w:rPr>
        <w:t> </w:t>
      </w:r>
      <w:r>
        <w:rPr>
          <w:sz w:val="18"/>
        </w:rPr>
        <w:t>functions,</w:t>
      </w:r>
      <w:r>
        <w:rPr>
          <w:spacing w:val="-6"/>
          <w:sz w:val="18"/>
        </w:rPr>
        <w:t> </w:t>
      </w:r>
      <w:r>
        <w:rPr>
          <w:sz w:val="18"/>
        </w:rPr>
        <w:t>should</w:t>
      </w:r>
      <w:r>
        <w:rPr>
          <w:spacing w:val="-6"/>
          <w:sz w:val="18"/>
        </w:rPr>
        <w:t> </w:t>
      </w:r>
      <w:r>
        <w:rPr>
          <w:sz w:val="18"/>
        </w:rPr>
        <w:t>be dealt</w:t>
      </w:r>
      <w:r>
        <w:rPr>
          <w:spacing w:val="-5"/>
          <w:sz w:val="18"/>
        </w:rPr>
        <w:t> </w:t>
      </w:r>
      <w:r>
        <w:rPr>
          <w:sz w:val="18"/>
        </w:rPr>
        <w:t>with under that organisation’s </w:t>
      </w:r>
      <w:r>
        <w:rPr>
          <w:spacing w:val="-3"/>
          <w:sz w:val="18"/>
        </w:rPr>
        <w:t>own </w:t>
      </w:r>
      <w:r>
        <w:rPr>
          <w:sz w:val="18"/>
        </w:rPr>
        <w:t>complaints</w:t>
      </w:r>
      <w:r>
        <w:rPr>
          <w:spacing w:val="-4"/>
          <w:sz w:val="18"/>
        </w:rPr>
        <w:t> </w:t>
      </w:r>
      <w:r>
        <w:rPr>
          <w:sz w:val="18"/>
        </w:rPr>
        <w:t>procedure.</w:t>
      </w:r>
    </w:p>
    <w:p>
      <w:pPr>
        <w:pStyle w:val="BodyText"/>
        <w:spacing w:before="8"/>
        <w:rPr>
          <w:sz w:val="19"/>
        </w:rPr>
      </w:pPr>
    </w:p>
    <w:p>
      <w:pPr>
        <w:pStyle w:val="ListParagraph"/>
        <w:numPr>
          <w:ilvl w:val="1"/>
          <w:numId w:val="6"/>
        </w:numPr>
        <w:tabs>
          <w:tab w:pos="2921" w:val="left" w:leader="none"/>
          <w:tab w:pos="2922" w:val="left" w:leader="none"/>
        </w:tabs>
        <w:spacing w:line="312" w:lineRule="auto" w:before="0" w:after="0"/>
        <w:ind w:left="2922" w:right="634" w:hanging="992"/>
        <w:jc w:val="both"/>
        <w:rPr>
          <w:sz w:val="18"/>
        </w:rPr>
      </w:pPr>
      <w:r>
        <w:rPr>
          <w:sz w:val="18"/>
        </w:rPr>
        <w:t>In</w:t>
      </w:r>
      <w:r>
        <w:rPr>
          <w:spacing w:val="-17"/>
          <w:sz w:val="18"/>
        </w:rPr>
        <w:t> </w:t>
      </w:r>
      <w:r>
        <w:rPr>
          <w:sz w:val="18"/>
        </w:rPr>
        <w:t>our</w:t>
      </w:r>
      <w:r>
        <w:rPr>
          <w:spacing w:val="-13"/>
          <w:sz w:val="18"/>
        </w:rPr>
        <w:t> </w:t>
      </w:r>
      <w:r>
        <w:rPr>
          <w:sz w:val="18"/>
        </w:rPr>
        <w:t>view,</w:t>
      </w:r>
      <w:r>
        <w:rPr>
          <w:spacing w:val="-16"/>
          <w:sz w:val="18"/>
        </w:rPr>
        <w:t> </w:t>
      </w:r>
      <w:r>
        <w:rPr>
          <w:sz w:val="18"/>
        </w:rPr>
        <w:t>the</w:t>
      </w:r>
      <w:r>
        <w:rPr>
          <w:spacing w:val="-15"/>
          <w:sz w:val="18"/>
        </w:rPr>
        <w:t> </w:t>
      </w:r>
      <w:r>
        <w:rPr>
          <w:sz w:val="18"/>
        </w:rPr>
        <w:t>content</w:t>
      </w:r>
      <w:r>
        <w:rPr>
          <w:spacing w:val="-13"/>
          <w:sz w:val="18"/>
        </w:rPr>
        <w:t> </w:t>
      </w:r>
      <w:r>
        <w:rPr>
          <w:sz w:val="18"/>
        </w:rPr>
        <w:t>of</w:t>
      </w:r>
      <w:r>
        <w:rPr>
          <w:spacing w:val="-16"/>
          <w:sz w:val="18"/>
        </w:rPr>
        <w:t> </w:t>
      </w:r>
      <w:r>
        <w:rPr>
          <w:sz w:val="18"/>
        </w:rPr>
        <w:t>the</w:t>
      </w:r>
      <w:r>
        <w:rPr>
          <w:spacing w:val="-14"/>
          <w:sz w:val="18"/>
        </w:rPr>
        <w:t> </w:t>
      </w:r>
      <w:r>
        <w:rPr>
          <w:sz w:val="18"/>
        </w:rPr>
        <w:t>complaints</w:t>
      </w:r>
      <w:r>
        <w:rPr>
          <w:spacing w:val="-16"/>
          <w:sz w:val="18"/>
        </w:rPr>
        <w:t> </w:t>
      </w:r>
      <w:r>
        <w:rPr>
          <w:sz w:val="18"/>
        </w:rPr>
        <w:t>procedure</w:t>
      </w:r>
      <w:r>
        <w:rPr>
          <w:spacing w:val="-15"/>
          <w:sz w:val="18"/>
        </w:rPr>
        <w:t> </w:t>
      </w:r>
      <w:r>
        <w:rPr>
          <w:sz w:val="18"/>
        </w:rPr>
        <w:t>itself</w:t>
      </w:r>
      <w:r>
        <w:rPr>
          <w:spacing w:val="-16"/>
          <w:sz w:val="18"/>
        </w:rPr>
        <w:t> </w:t>
      </w:r>
      <w:r>
        <w:rPr>
          <w:sz w:val="18"/>
        </w:rPr>
        <w:t>can</w:t>
      </w:r>
      <w:r>
        <w:rPr>
          <w:spacing w:val="-17"/>
          <w:sz w:val="18"/>
        </w:rPr>
        <w:t> </w:t>
      </w:r>
      <w:r>
        <w:rPr>
          <w:sz w:val="18"/>
        </w:rPr>
        <w:t>be</w:t>
      </w:r>
      <w:r>
        <w:rPr>
          <w:spacing w:val="-16"/>
          <w:sz w:val="18"/>
        </w:rPr>
        <w:t> </w:t>
      </w:r>
      <w:r>
        <w:rPr>
          <w:sz w:val="18"/>
        </w:rPr>
        <w:t>fairly</w:t>
      </w:r>
      <w:r>
        <w:rPr>
          <w:spacing w:val="-16"/>
          <w:sz w:val="18"/>
        </w:rPr>
        <w:t> </w:t>
      </w:r>
      <w:r>
        <w:rPr>
          <w:sz w:val="18"/>
        </w:rPr>
        <w:t>standard, and modelled on any used by any local authority or Local Health</w:t>
      </w:r>
      <w:r>
        <w:rPr>
          <w:spacing w:val="-18"/>
          <w:sz w:val="18"/>
        </w:rPr>
        <w:t> </w:t>
      </w:r>
      <w:r>
        <w:rPr>
          <w:sz w:val="18"/>
        </w:rPr>
        <w:t>board.</w:t>
      </w:r>
    </w:p>
    <w:p>
      <w:pPr>
        <w:spacing w:after="0" w:line="312" w:lineRule="auto"/>
        <w:jc w:val="both"/>
        <w:rPr>
          <w:sz w:val="18"/>
        </w:rPr>
        <w:sectPr>
          <w:pgSz w:w="11910" w:h="16850"/>
          <w:pgMar w:header="0" w:footer="643" w:top="1340" w:bottom="840" w:left="340" w:right="780"/>
        </w:sectPr>
      </w:pPr>
    </w:p>
    <w:p>
      <w:pPr>
        <w:pStyle w:val="BodyText"/>
        <w:spacing w:line="312" w:lineRule="auto" w:before="79"/>
        <w:ind w:left="1930" w:right="633"/>
        <w:jc w:val="both"/>
      </w:pPr>
      <w:r>
        <w:rPr/>
        <w:t>We trust that these responses have dealt with your questions in full; we are more than happy to discuss these in more detail once you have had an opportunity to digest its content.</w:t>
      </w:r>
    </w:p>
    <w:p>
      <w:pPr>
        <w:pStyle w:val="BodyText"/>
        <w:rPr>
          <w:sz w:val="22"/>
        </w:rPr>
      </w:pPr>
    </w:p>
    <w:p>
      <w:pPr>
        <w:pStyle w:val="BodyText"/>
        <w:rPr>
          <w:sz w:val="22"/>
        </w:rPr>
      </w:pPr>
    </w:p>
    <w:p>
      <w:pPr>
        <w:pStyle w:val="BodyText"/>
        <w:spacing w:before="11"/>
      </w:pPr>
    </w:p>
    <w:p>
      <w:pPr>
        <w:pStyle w:val="Heading2"/>
        <w:spacing w:line="573" w:lineRule="auto"/>
        <w:ind w:left="8541" w:right="634" w:hanging="598"/>
        <w:jc w:val="right"/>
      </w:pPr>
      <w:r>
        <w:rPr/>
        <w:t>Eversheds Sutherland November 2018</w:t>
      </w:r>
    </w:p>
    <w:sectPr>
      <w:pgSz w:w="11910" w:h="16850"/>
      <w:pgMar w:header="0" w:footer="643" w:top="1340" w:bottom="840" w:left="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Verdana-BoldItalic">
    <w:altName w:val="Verdana-BoldItalic"/>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73999pt;margin-top:798.882568pt;width:14.9pt;height:10.5pt;mso-position-horizontal-relative:page;mso-position-vertical-relative:page;z-index:-15922688"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2257" w:hanging="358"/>
        <w:jc w:val="left"/>
      </w:pPr>
      <w:rPr>
        <w:rFonts w:hint="default" w:ascii="Verdana" w:hAnsi="Verdana" w:eastAsia="Verdana" w:cs="Verdana"/>
        <w:spacing w:val="-1"/>
        <w:w w:val="100"/>
        <w:sz w:val="18"/>
        <w:szCs w:val="18"/>
        <w:lang w:val="en-gb" w:eastAsia="en-US" w:bidi="ar-SA"/>
      </w:rPr>
    </w:lvl>
    <w:lvl w:ilvl="1">
      <w:start w:val="0"/>
      <w:numFmt w:val="bullet"/>
      <w:lvlText w:val="•"/>
      <w:lvlJc w:val="left"/>
      <w:pPr>
        <w:ind w:left="3112" w:hanging="358"/>
      </w:pPr>
      <w:rPr>
        <w:rFonts w:hint="default"/>
        <w:lang w:val="en-gb" w:eastAsia="en-US" w:bidi="ar-SA"/>
      </w:rPr>
    </w:lvl>
    <w:lvl w:ilvl="2">
      <w:start w:val="0"/>
      <w:numFmt w:val="bullet"/>
      <w:lvlText w:val="•"/>
      <w:lvlJc w:val="left"/>
      <w:pPr>
        <w:ind w:left="3965" w:hanging="358"/>
      </w:pPr>
      <w:rPr>
        <w:rFonts w:hint="default"/>
        <w:lang w:val="en-gb" w:eastAsia="en-US" w:bidi="ar-SA"/>
      </w:rPr>
    </w:lvl>
    <w:lvl w:ilvl="3">
      <w:start w:val="0"/>
      <w:numFmt w:val="bullet"/>
      <w:lvlText w:val="•"/>
      <w:lvlJc w:val="left"/>
      <w:pPr>
        <w:ind w:left="4817" w:hanging="358"/>
      </w:pPr>
      <w:rPr>
        <w:rFonts w:hint="default"/>
        <w:lang w:val="en-gb" w:eastAsia="en-US" w:bidi="ar-SA"/>
      </w:rPr>
    </w:lvl>
    <w:lvl w:ilvl="4">
      <w:start w:val="0"/>
      <w:numFmt w:val="bullet"/>
      <w:lvlText w:val="•"/>
      <w:lvlJc w:val="left"/>
      <w:pPr>
        <w:ind w:left="5670" w:hanging="358"/>
      </w:pPr>
      <w:rPr>
        <w:rFonts w:hint="default"/>
        <w:lang w:val="en-gb" w:eastAsia="en-US" w:bidi="ar-SA"/>
      </w:rPr>
    </w:lvl>
    <w:lvl w:ilvl="5">
      <w:start w:val="0"/>
      <w:numFmt w:val="bullet"/>
      <w:lvlText w:val="•"/>
      <w:lvlJc w:val="left"/>
      <w:pPr>
        <w:ind w:left="6523" w:hanging="358"/>
      </w:pPr>
      <w:rPr>
        <w:rFonts w:hint="default"/>
        <w:lang w:val="en-gb" w:eastAsia="en-US" w:bidi="ar-SA"/>
      </w:rPr>
    </w:lvl>
    <w:lvl w:ilvl="6">
      <w:start w:val="0"/>
      <w:numFmt w:val="bullet"/>
      <w:lvlText w:val="•"/>
      <w:lvlJc w:val="left"/>
      <w:pPr>
        <w:ind w:left="7375" w:hanging="358"/>
      </w:pPr>
      <w:rPr>
        <w:rFonts w:hint="default"/>
        <w:lang w:val="en-gb" w:eastAsia="en-US" w:bidi="ar-SA"/>
      </w:rPr>
    </w:lvl>
    <w:lvl w:ilvl="7">
      <w:start w:val="0"/>
      <w:numFmt w:val="bullet"/>
      <w:lvlText w:val="•"/>
      <w:lvlJc w:val="left"/>
      <w:pPr>
        <w:ind w:left="8228" w:hanging="358"/>
      </w:pPr>
      <w:rPr>
        <w:rFonts w:hint="default"/>
        <w:lang w:val="en-gb" w:eastAsia="en-US" w:bidi="ar-SA"/>
      </w:rPr>
    </w:lvl>
    <w:lvl w:ilvl="8">
      <w:start w:val="0"/>
      <w:numFmt w:val="bullet"/>
      <w:lvlText w:val="•"/>
      <w:lvlJc w:val="left"/>
      <w:pPr>
        <w:ind w:left="9081" w:hanging="358"/>
      </w:pPr>
      <w:rPr>
        <w:rFonts w:hint="default"/>
        <w:lang w:val="en-gb" w:eastAsia="en-US" w:bidi="ar-SA"/>
      </w:rPr>
    </w:lvl>
  </w:abstractNum>
  <w:abstractNum w:abstractNumId="6">
    <w:multiLevelType w:val="hybridMultilevel"/>
    <w:lvl w:ilvl="0">
      <w:start w:val="385"/>
      <w:numFmt w:val="decimal"/>
      <w:lvlText w:val="%1."/>
      <w:lvlJc w:val="left"/>
      <w:pPr>
        <w:ind w:left="1930" w:hanging="464"/>
        <w:jc w:val="left"/>
      </w:pPr>
      <w:rPr>
        <w:rFonts w:hint="default" w:ascii="Verdana" w:hAnsi="Verdana" w:eastAsia="Verdana" w:cs="Verdana"/>
        <w:i/>
        <w:w w:val="100"/>
        <w:sz w:val="18"/>
        <w:szCs w:val="18"/>
        <w:lang w:val="en-gb" w:eastAsia="en-US" w:bidi="ar-SA"/>
      </w:rPr>
    </w:lvl>
    <w:lvl w:ilvl="1">
      <w:start w:val="0"/>
      <w:numFmt w:val="bullet"/>
      <w:lvlText w:val="•"/>
      <w:lvlJc w:val="left"/>
      <w:pPr>
        <w:ind w:left="2824" w:hanging="464"/>
      </w:pPr>
      <w:rPr>
        <w:rFonts w:hint="default"/>
        <w:lang w:val="en-gb" w:eastAsia="en-US" w:bidi="ar-SA"/>
      </w:rPr>
    </w:lvl>
    <w:lvl w:ilvl="2">
      <w:start w:val="0"/>
      <w:numFmt w:val="bullet"/>
      <w:lvlText w:val="•"/>
      <w:lvlJc w:val="left"/>
      <w:pPr>
        <w:ind w:left="3709" w:hanging="464"/>
      </w:pPr>
      <w:rPr>
        <w:rFonts w:hint="default"/>
        <w:lang w:val="en-gb" w:eastAsia="en-US" w:bidi="ar-SA"/>
      </w:rPr>
    </w:lvl>
    <w:lvl w:ilvl="3">
      <w:start w:val="0"/>
      <w:numFmt w:val="bullet"/>
      <w:lvlText w:val="•"/>
      <w:lvlJc w:val="left"/>
      <w:pPr>
        <w:ind w:left="4593" w:hanging="464"/>
      </w:pPr>
      <w:rPr>
        <w:rFonts w:hint="default"/>
        <w:lang w:val="en-gb" w:eastAsia="en-US" w:bidi="ar-SA"/>
      </w:rPr>
    </w:lvl>
    <w:lvl w:ilvl="4">
      <w:start w:val="0"/>
      <w:numFmt w:val="bullet"/>
      <w:lvlText w:val="•"/>
      <w:lvlJc w:val="left"/>
      <w:pPr>
        <w:ind w:left="5478" w:hanging="464"/>
      </w:pPr>
      <w:rPr>
        <w:rFonts w:hint="default"/>
        <w:lang w:val="en-gb" w:eastAsia="en-US" w:bidi="ar-SA"/>
      </w:rPr>
    </w:lvl>
    <w:lvl w:ilvl="5">
      <w:start w:val="0"/>
      <w:numFmt w:val="bullet"/>
      <w:lvlText w:val="•"/>
      <w:lvlJc w:val="left"/>
      <w:pPr>
        <w:ind w:left="6363" w:hanging="464"/>
      </w:pPr>
      <w:rPr>
        <w:rFonts w:hint="default"/>
        <w:lang w:val="en-gb" w:eastAsia="en-US" w:bidi="ar-SA"/>
      </w:rPr>
    </w:lvl>
    <w:lvl w:ilvl="6">
      <w:start w:val="0"/>
      <w:numFmt w:val="bullet"/>
      <w:lvlText w:val="•"/>
      <w:lvlJc w:val="left"/>
      <w:pPr>
        <w:ind w:left="7247" w:hanging="464"/>
      </w:pPr>
      <w:rPr>
        <w:rFonts w:hint="default"/>
        <w:lang w:val="en-gb" w:eastAsia="en-US" w:bidi="ar-SA"/>
      </w:rPr>
    </w:lvl>
    <w:lvl w:ilvl="7">
      <w:start w:val="0"/>
      <w:numFmt w:val="bullet"/>
      <w:lvlText w:val="•"/>
      <w:lvlJc w:val="left"/>
      <w:pPr>
        <w:ind w:left="8132" w:hanging="464"/>
      </w:pPr>
      <w:rPr>
        <w:rFonts w:hint="default"/>
        <w:lang w:val="en-gb" w:eastAsia="en-US" w:bidi="ar-SA"/>
      </w:rPr>
    </w:lvl>
    <w:lvl w:ilvl="8">
      <w:start w:val="0"/>
      <w:numFmt w:val="bullet"/>
      <w:lvlText w:val="•"/>
      <w:lvlJc w:val="left"/>
      <w:pPr>
        <w:ind w:left="9017" w:hanging="464"/>
      </w:pPr>
      <w:rPr>
        <w:rFonts w:hint="default"/>
        <w:lang w:val="en-gb" w:eastAsia="en-US" w:bidi="ar-SA"/>
      </w:rPr>
    </w:lvl>
  </w:abstractNum>
  <w:abstractNum w:abstractNumId="5">
    <w:multiLevelType w:val="hybridMultilevel"/>
    <w:lvl w:ilvl="0">
      <w:start w:val="10"/>
      <w:numFmt w:val="decimal"/>
      <w:lvlText w:val="%1"/>
      <w:lvlJc w:val="left"/>
      <w:pPr>
        <w:ind w:left="1930" w:hanging="852"/>
        <w:jc w:val="left"/>
      </w:pPr>
      <w:rPr>
        <w:rFonts w:hint="default" w:ascii="Tahoma" w:hAnsi="Tahoma" w:eastAsia="Tahoma" w:cs="Tahoma"/>
        <w:b/>
        <w:bCs/>
        <w:spacing w:val="-1"/>
        <w:w w:val="99"/>
        <w:position w:val="7"/>
        <w:sz w:val="13"/>
        <w:szCs w:val="13"/>
        <w:lang w:val="en-gb" w:eastAsia="en-US" w:bidi="ar-SA"/>
      </w:rPr>
    </w:lvl>
    <w:lvl w:ilvl="1">
      <w:start w:val="0"/>
      <w:numFmt w:val="bullet"/>
      <w:lvlText w:val="•"/>
      <w:lvlJc w:val="left"/>
      <w:pPr>
        <w:ind w:left="2922" w:hanging="992"/>
      </w:pPr>
      <w:rPr>
        <w:rFonts w:hint="default" w:ascii="Arial" w:hAnsi="Arial" w:eastAsia="Arial" w:cs="Arial"/>
        <w:w w:val="131"/>
        <w:sz w:val="18"/>
        <w:szCs w:val="18"/>
        <w:lang w:val="en-gb" w:eastAsia="en-US" w:bidi="ar-SA"/>
      </w:rPr>
    </w:lvl>
    <w:lvl w:ilvl="2">
      <w:start w:val="0"/>
      <w:numFmt w:val="bullet"/>
      <w:lvlText w:val="•"/>
      <w:lvlJc w:val="left"/>
      <w:pPr>
        <w:ind w:left="3794" w:hanging="992"/>
      </w:pPr>
      <w:rPr>
        <w:rFonts w:hint="default"/>
        <w:lang w:val="en-gb" w:eastAsia="en-US" w:bidi="ar-SA"/>
      </w:rPr>
    </w:lvl>
    <w:lvl w:ilvl="3">
      <w:start w:val="0"/>
      <w:numFmt w:val="bullet"/>
      <w:lvlText w:val="•"/>
      <w:lvlJc w:val="left"/>
      <w:pPr>
        <w:ind w:left="4668" w:hanging="992"/>
      </w:pPr>
      <w:rPr>
        <w:rFonts w:hint="default"/>
        <w:lang w:val="en-gb" w:eastAsia="en-US" w:bidi="ar-SA"/>
      </w:rPr>
    </w:lvl>
    <w:lvl w:ilvl="4">
      <w:start w:val="0"/>
      <w:numFmt w:val="bullet"/>
      <w:lvlText w:val="•"/>
      <w:lvlJc w:val="left"/>
      <w:pPr>
        <w:ind w:left="5542" w:hanging="992"/>
      </w:pPr>
      <w:rPr>
        <w:rFonts w:hint="default"/>
        <w:lang w:val="en-gb" w:eastAsia="en-US" w:bidi="ar-SA"/>
      </w:rPr>
    </w:lvl>
    <w:lvl w:ilvl="5">
      <w:start w:val="0"/>
      <w:numFmt w:val="bullet"/>
      <w:lvlText w:val="•"/>
      <w:lvlJc w:val="left"/>
      <w:pPr>
        <w:ind w:left="6416" w:hanging="992"/>
      </w:pPr>
      <w:rPr>
        <w:rFonts w:hint="default"/>
        <w:lang w:val="en-gb" w:eastAsia="en-US" w:bidi="ar-SA"/>
      </w:rPr>
    </w:lvl>
    <w:lvl w:ilvl="6">
      <w:start w:val="0"/>
      <w:numFmt w:val="bullet"/>
      <w:lvlText w:val="•"/>
      <w:lvlJc w:val="left"/>
      <w:pPr>
        <w:ind w:left="7290" w:hanging="992"/>
      </w:pPr>
      <w:rPr>
        <w:rFonts w:hint="default"/>
        <w:lang w:val="en-gb" w:eastAsia="en-US" w:bidi="ar-SA"/>
      </w:rPr>
    </w:lvl>
    <w:lvl w:ilvl="7">
      <w:start w:val="0"/>
      <w:numFmt w:val="bullet"/>
      <w:lvlText w:val="•"/>
      <w:lvlJc w:val="left"/>
      <w:pPr>
        <w:ind w:left="8164" w:hanging="992"/>
      </w:pPr>
      <w:rPr>
        <w:rFonts w:hint="default"/>
        <w:lang w:val="en-gb" w:eastAsia="en-US" w:bidi="ar-SA"/>
      </w:rPr>
    </w:lvl>
    <w:lvl w:ilvl="8">
      <w:start w:val="0"/>
      <w:numFmt w:val="bullet"/>
      <w:lvlText w:val="•"/>
      <w:lvlJc w:val="left"/>
      <w:pPr>
        <w:ind w:left="9038" w:hanging="992"/>
      </w:pPr>
      <w:rPr>
        <w:rFonts w:hint="default"/>
        <w:lang w:val="en-gb" w:eastAsia="en-US" w:bidi="ar-SA"/>
      </w:rPr>
    </w:lvl>
  </w:abstractNum>
  <w:abstractNum w:abstractNumId="4">
    <w:multiLevelType w:val="hybridMultilevel"/>
    <w:lvl w:ilvl="0">
      <w:start w:val="4"/>
      <w:numFmt w:val="decimal"/>
      <w:lvlText w:val="%1."/>
      <w:lvlJc w:val="left"/>
      <w:pPr>
        <w:ind w:left="1930" w:hanging="194"/>
        <w:jc w:val="right"/>
      </w:pPr>
      <w:rPr>
        <w:rFonts w:hint="default"/>
        <w:b/>
        <w:bCs/>
        <w:i/>
        <w:spacing w:val="-1"/>
        <w:w w:val="100"/>
        <w:lang w:val="en-gb" w:eastAsia="en-US" w:bidi="ar-SA"/>
      </w:rPr>
    </w:lvl>
    <w:lvl w:ilvl="1">
      <w:start w:val="1"/>
      <w:numFmt w:val="lowerLetter"/>
      <w:lvlText w:val="(%2)"/>
      <w:lvlJc w:val="left"/>
      <w:pPr>
        <w:ind w:left="3114" w:hanging="334"/>
        <w:jc w:val="left"/>
      </w:pPr>
      <w:rPr>
        <w:rFonts w:hint="default" w:ascii="Verdana" w:hAnsi="Verdana" w:eastAsia="Verdana" w:cs="Verdana"/>
        <w:i/>
        <w:spacing w:val="-1"/>
        <w:w w:val="100"/>
        <w:sz w:val="18"/>
        <w:szCs w:val="18"/>
        <w:lang w:val="en-gb" w:eastAsia="en-US" w:bidi="ar-SA"/>
      </w:rPr>
    </w:lvl>
    <w:lvl w:ilvl="2">
      <w:start w:val="0"/>
      <w:numFmt w:val="bullet"/>
      <w:lvlText w:val="•"/>
      <w:lvlJc w:val="left"/>
      <w:pPr>
        <w:ind w:left="3971" w:hanging="334"/>
      </w:pPr>
      <w:rPr>
        <w:rFonts w:hint="default"/>
        <w:lang w:val="en-gb" w:eastAsia="en-US" w:bidi="ar-SA"/>
      </w:rPr>
    </w:lvl>
    <w:lvl w:ilvl="3">
      <w:start w:val="0"/>
      <w:numFmt w:val="bullet"/>
      <w:lvlText w:val="•"/>
      <w:lvlJc w:val="left"/>
      <w:pPr>
        <w:ind w:left="4823" w:hanging="334"/>
      </w:pPr>
      <w:rPr>
        <w:rFonts w:hint="default"/>
        <w:lang w:val="en-gb" w:eastAsia="en-US" w:bidi="ar-SA"/>
      </w:rPr>
    </w:lvl>
    <w:lvl w:ilvl="4">
      <w:start w:val="0"/>
      <w:numFmt w:val="bullet"/>
      <w:lvlText w:val="•"/>
      <w:lvlJc w:val="left"/>
      <w:pPr>
        <w:ind w:left="5675" w:hanging="334"/>
      </w:pPr>
      <w:rPr>
        <w:rFonts w:hint="default"/>
        <w:lang w:val="en-gb" w:eastAsia="en-US" w:bidi="ar-SA"/>
      </w:rPr>
    </w:lvl>
    <w:lvl w:ilvl="5">
      <w:start w:val="0"/>
      <w:numFmt w:val="bullet"/>
      <w:lvlText w:val="•"/>
      <w:lvlJc w:val="left"/>
      <w:pPr>
        <w:ind w:left="6527" w:hanging="334"/>
      </w:pPr>
      <w:rPr>
        <w:rFonts w:hint="default"/>
        <w:lang w:val="en-gb" w:eastAsia="en-US" w:bidi="ar-SA"/>
      </w:rPr>
    </w:lvl>
    <w:lvl w:ilvl="6">
      <w:start w:val="0"/>
      <w:numFmt w:val="bullet"/>
      <w:lvlText w:val="•"/>
      <w:lvlJc w:val="left"/>
      <w:pPr>
        <w:ind w:left="7379" w:hanging="334"/>
      </w:pPr>
      <w:rPr>
        <w:rFonts w:hint="default"/>
        <w:lang w:val="en-gb" w:eastAsia="en-US" w:bidi="ar-SA"/>
      </w:rPr>
    </w:lvl>
    <w:lvl w:ilvl="7">
      <w:start w:val="0"/>
      <w:numFmt w:val="bullet"/>
      <w:lvlText w:val="•"/>
      <w:lvlJc w:val="left"/>
      <w:pPr>
        <w:ind w:left="8230" w:hanging="334"/>
      </w:pPr>
      <w:rPr>
        <w:rFonts w:hint="default"/>
        <w:lang w:val="en-gb" w:eastAsia="en-US" w:bidi="ar-SA"/>
      </w:rPr>
    </w:lvl>
    <w:lvl w:ilvl="8">
      <w:start w:val="0"/>
      <w:numFmt w:val="bullet"/>
      <w:lvlText w:val="•"/>
      <w:lvlJc w:val="left"/>
      <w:pPr>
        <w:ind w:left="9082" w:hanging="334"/>
      </w:pPr>
      <w:rPr>
        <w:rFonts w:hint="default"/>
        <w:lang w:val="en-gb" w:eastAsia="en-US" w:bidi="ar-SA"/>
      </w:rPr>
    </w:lvl>
  </w:abstractNum>
  <w:abstractNum w:abstractNumId="3">
    <w:multiLevelType w:val="hybridMultilevel"/>
    <w:lvl w:ilvl="0">
      <w:start w:val="1"/>
      <w:numFmt w:val="decimal"/>
      <w:lvlText w:val="(%1)"/>
      <w:lvlJc w:val="left"/>
      <w:pPr>
        <w:ind w:left="1930" w:hanging="346"/>
        <w:jc w:val="left"/>
      </w:pPr>
      <w:rPr>
        <w:rFonts w:hint="default"/>
        <w:spacing w:val="-1"/>
        <w:w w:val="100"/>
        <w:lang w:val="en-gb" w:eastAsia="en-US" w:bidi="ar-SA"/>
      </w:rPr>
    </w:lvl>
    <w:lvl w:ilvl="1">
      <w:start w:val="1"/>
      <w:numFmt w:val="lowerLetter"/>
      <w:lvlText w:val="(%2)"/>
      <w:lvlJc w:val="left"/>
      <w:pPr>
        <w:ind w:left="2780" w:hanging="334"/>
        <w:jc w:val="left"/>
      </w:pPr>
      <w:rPr>
        <w:rFonts w:hint="default" w:ascii="Verdana" w:hAnsi="Verdana" w:eastAsia="Verdana" w:cs="Verdana"/>
        <w:i/>
        <w:spacing w:val="-1"/>
        <w:w w:val="100"/>
        <w:sz w:val="18"/>
        <w:szCs w:val="18"/>
        <w:lang w:val="en-gb" w:eastAsia="en-US" w:bidi="ar-SA"/>
      </w:rPr>
    </w:lvl>
    <w:lvl w:ilvl="2">
      <w:start w:val="1"/>
      <w:numFmt w:val="lowerRoman"/>
      <w:lvlText w:val="(%3)"/>
      <w:lvlJc w:val="left"/>
      <w:pPr>
        <w:ind w:left="3630" w:hanging="294"/>
        <w:jc w:val="left"/>
      </w:pPr>
      <w:rPr>
        <w:rFonts w:hint="default" w:ascii="Verdana" w:hAnsi="Verdana" w:eastAsia="Verdana" w:cs="Verdana"/>
        <w:i/>
        <w:spacing w:val="-1"/>
        <w:w w:val="100"/>
        <w:sz w:val="18"/>
        <w:szCs w:val="18"/>
        <w:lang w:val="en-gb" w:eastAsia="en-US" w:bidi="ar-SA"/>
      </w:rPr>
    </w:lvl>
    <w:lvl w:ilvl="3">
      <w:start w:val="0"/>
      <w:numFmt w:val="bullet"/>
      <w:lvlText w:val="•"/>
      <w:lvlJc w:val="left"/>
      <w:pPr>
        <w:ind w:left="3640" w:hanging="294"/>
      </w:pPr>
      <w:rPr>
        <w:rFonts w:hint="default"/>
        <w:lang w:val="en-gb" w:eastAsia="en-US" w:bidi="ar-SA"/>
      </w:rPr>
    </w:lvl>
    <w:lvl w:ilvl="4">
      <w:start w:val="0"/>
      <w:numFmt w:val="bullet"/>
      <w:lvlText w:val="•"/>
      <w:lvlJc w:val="left"/>
      <w:pPr>
        <w:ind w:left="4660" w:hanging="294"/>
      </w:pPr>
      <w:rPr>
        <w:rFonts w:hint="default"/>
        <w:lang w:val="en-gb" w:eastAsia="en-US" w:bidi="ar-SA"/>
      </w:rPr>
    </w:lvl>
    <w:lvl w:ilvl="5">
      <w:start w:val="0"/>
      <w:numFmt w:val="bullet"/>
      <w:lvlText w:val="•"/>
      <w:lvlJc w:val="left"/>
      <w:pPr>
        <w:ind w:left="5681" w:hanging="294"/>
      </w:pPr>
      <w:rPr>
        <w:rFonts w:hint="default"/>
        <w:lang w:val="en-gb" w:eastAsia="en-US" w:bidi="ar-SA"/>
      </w:rPr>
    </w:lvl>
    <w:lvl w:ilvl="6">
      <w:start w:val="0"/>
      <w:numFmt w:val="bullet"/>
      <w:lvlText w:val="•"/>
      <w:lvlJc w:val="left"/>
      <w:pPr>
        <w:ind w:left="6702" w:hanging="294"/>
      </w:pPr>
      <w:rPr>
        <w:rFonts w:hint="default"/>
        <w:lang w:val="en-gb" w:eastAsia="en-US" w:bidi="ar-SA"/>
      </w:rPr>
    </w:lvl>
    <w:lvl w:ilvl="7">
      <w:start w:val="0"/>
      <w:numFmt w:val="bullet"/>
      <w:lvlText w:val="•"/>
      <w:lvlJc w:val="left"/>
      <w:pPr>
        <w:ind w:left="7723" w:hanging="294"/>
      </w:pPr>
      <w:rPr>
        <w:rFonts w:hint="default"/>
        <w:lang w:val="en-gb" w:eastAsia="en-US" w:bidi="ar-SA"/>
      </w:rPr>
    </w:lvl>
    <w:lvl w:ilvl="8">
      <w:start w:val="0"/>
      <w:numFmt w:val="bullet"/>
      <w:lvlText w:val="•"/>
      <w:lvlJc w:val="left"/>
      <w:pPr>
        <w:ind w:left="8744" w:hanging="294"/>
      </w:pPr>
      <w:rPr>
        <w:rFonts w:hint="default"/>
        <w:lang w:val="en-gb" w:eastAsia="en-US" w:bidi="ar-SA"/>
      </w:rPr>
    </w:lvl>
  </w:abstractNum>
  <w:abstractNum w:abstractNumId="2">
    <w:multiLevelType w:val="hybridMultilevel"/>
    <w:lvl w:ilvl="0">
      <w:start w:val="4"/>
      <w:numFmt w:val="decimal"/>
      <w:lvlText w:val="%1"/>
      <w:lvlJc w:val="left"/>
      <w:pPr>
        <w:ind w:left="2922" w:hanging="992"/>
        <w:jc w:val="left"/>
      </w:pPr>
      <w:rPr>
        <w:rFonts w:hint="default"/>
        <w:lang w:val="en-gb" w:eastAsia="en-US" w:bidi="ar-SA"/>
      </w:rPr>
    </w:lvl>
    <w:lvl w:ilvl="1">
      <w:start w:val="1"/>
      <w:numFmt w:val="decimal"/>
      <w:lvlText w:val="%1.%2"/>
      <w:lvlJc w:val="left"/>
      <w:pPr>
        <w:ind w:left="2922" w:hanging="992"/>
        <w:jc w:val="left"/>
      </w:pPr>
      <w:rPr>
        <w:rFonts w:hint="default" w:ascii="Verdana" w:hAnsi="Verdana" w:eastAsia="Verdana" w:cs="Verdana"/>
        <w:spacing w:val="-1"/>
        <w:w w:val="100"/>
        <w:sz w:val="18"/>
        <w:szCs w:val="18"/>
        <w:lang w:val="en-gb" w:eastAsia="en-US" w:bidi="ar-SA"/>
      </w:rPr>
    </w:lvl>
    <w:lvl w:ilvl="2">
      <w:start w:val="0"/>
      <w:numFmt w:val="bullet"/>
      <w:lvlText w:val="•"/>
      <w:lvlJc w:val="left"/>
      <w:pPr>
        <w:ind w:left="4493" w:hanging="992"/>
      </w:pPr>
      <w:rPr>
        <w:rFonts w:hint="default"/>
        <w:lang w:val="en-gb" w:eastAsia="en-US" w:bidi="ar-SA"/>
      </w:rPr>
    </w:lvl>
    <w:lvl w:ilvl="3">
      <w:start w:val="0"/>
      <w:numFmt w:val="bullet"/>
      <w:lvlText w:val="•"/>
      <w:lvlJc w:val="left"/>
      <w:pPr>
        <w:ind w:left="5279" w:hanging="992"/>
      </w:pPr>
      <w:rPr>
        <w:rFonts w:hint="default"/>
        <w:lang w:val="en-gb" w:eastAsia="en-US" w:bidi="ar-SA"/>
      </w:rPr>
    </w:lvl>
    <w:lvl w:ilvl="4">
      <w:start w:val="0"/>
      <w:numFmt w:val="bullet"/>
      <w:lvlText w:val="•"/>
      <w:lvlJc w:val="left"/>
      <w:pPr>
        <w:ind w:left="6066" w:hanging="992"/>
      </w:pPr>
      <w:rPr>
        <w:rFonts w:hint="default"/>
        <w:lang w:val="en-gb" w:eastAsia="en-US" w:bidi="ar-SA"/>
      </w:rPr>
    </w:lvl>
    <w:lvl w:ilvl="5">
      <w:start w:val="0"/>
      <w:numFmt w:val="bullet"/>
      <w:lvlText w:val="•"/>
      <w:lvlJc w:val="left"/>
      <w:pPr>
        <w:ind w:left="6853" w:hanging="992"/>
      </w:pPr>
      <w:rPr>
        <w:rFonts w:hint="default"/>
        <w:lang w:val="en-gb" w:eastAsia="en-US" w:bidi="ar-SA"/>
      </w:rPr>
    </w:lvl>
    <w:lvl w:ilvl="6">
      <w:start w:val="0"/>
      <w:numFmt w:val="bullet"/>
      <w:lvlText w:val="•"/>
      <w:lvlJc w:val="left"/>
      <w:pPr>
        <w:ind w:left="7639" w:hanging="992"/>
      </w:pPr>
      <w:rPr>
        <w:rFonts w:hint="default"/>
        <w:lang w:val="en-gb" w:eastAsia="en-US" w:bidi="ar-SA"/>
      </w:rPr>
    </w:lvl>
    <w:lvl w:ilvl="7">
      <w:start w:val="0"/>
      <w:numFmt w:val="bullet"/>
      <w:lvlText w:val="•"/>
      <w:lvlJc w:val="left"/>
      <w:pPr>
        <w:ind w:left="8426" w:hanging="992"/>
      </w:pPr>
      <w:rPr>
        <w:rFonts w:hint="default"/>
        <w:lang w:val="en-gb" w:eastAsia="en-US" w:bidi="ar-SA"/>
      </w:rPr>
    </w:lvl>
    <w:lvl w:ilvl="8">
      <w:start w:val="0"/>
      <w:numFmt w:val="bullet"/>
      <w:lvlText w:val="•"/>
      <w:lvlJc w:val="left"/>
      <w:pPr>
        <w:ind w:left="9213" w:hanging="992"/>
      </w:pPr>
      <w:rPr>
        <w:rFonts w:hint="default"/>
        <w:lang w:val="en-gb" w:eastAsia="en-US" w:bidi="ar-SA"/>
      </w:rPr>
    </w:lvl>
  </w:abstractNum>
  <w:abstractNum w:abstractNumId="1">
    <w:multiLevelType w:val="hybridMultilevel"/>
    <w:lvl w:ilvl="0">
      <w:start w:val="1"/>
      <w:numFmt w:val="decimal"/>
      <w:lvlText w:val="%1"/>
      <w:lvlJc w:val="left"/>
      <w:pPr>
        <w:ind w:left="1930" w:hanging="852"/>
        <w:jc w:val="left"/>
      </w:pPr>
      <w:rPr>
        <w:rFonts w:hint="default" w:ascii="Tahoma" w:hAnsi="Tahoma" w:eastAsia="Tahoma" w:cs="Tahoma"/>
        <w:b/>
        <w:bCs/>
        <w:w w:val="99"/>
        <w:position w:val="7"/>
        <w:sz w:val="13"/>
        <w:szCs w:val="13"/>
        <w:lang w:val="en-gb" w:eastAsia="en-US" w:bidi="ar-SA"/>
      </w:rPr>
    </w:lvl>
    <w:lvl w:ilvl="1">
      <w:start w:val="0"/>
      <w:numFmt w:val="bullet"/>
      <w:lvlText w:val="•"/>
      <w:lvlJc w:val="left"/>
      <w:pPr>
        <w:ind w:left="2824" w:hanging="852"/>
      </w:pPr>
      <w:rPr>
        <w:rFonts w:hint="default"/>
        <w:lang w:val="en-gb" w:eastAsia="en-US" w:bidi="ar-SA"/>
      </w:rPr>
    </w:lvl>
    <w:lvl w:ilvl="2">
      <w:start w:val="0"/>
      <w:numFmt w:val="bullet"/>
      <w:lvlText w:val="•"/>
      <w:lvlJc w:val="left"/>
      <w:pPr>
        <w:ind w:left="3709" w:hanging="852"/>
      </w:pPr>
      <w:rPr>
        <w:rFonts w:hint="default"/>
        <w:lang w:val="en-gb" w:eastAsia="en-US" w:bidi="ar-SA"/>
      </w:rPr>
    </w:lvl>
    <w:lvl w:ilvl="3">
      <w:start w:val="0"/>
      <w:numFmt w:val="bullet"/>
      <w:lvlText w:val="•"/>
      <w:lvlJc w:val="left"/>
      <w:pPr>
        <w:ind w:left="4593" w:hanging="852"/>
      </w:pPr>
      <w:rPr>
        <w:rFonts w:hint="default"/>
        <w:lang w:val="en-gb" w:eastAsia="en-US" w:bidi="ar-SA"/>
      </w:rPr>
    </w:lvl>
    <w:lvl w:ilvl="4">
      <w:start w:val="0"/>
      <w:numFmt w:val="bullet"/>
      <w:lvlText w:val="•"/>
      <w:lvlJc w:val="left"/>
      <w:pPr>
        <w:ind w:left="5478" w:hanging="852"/>
      </w:pPr>
      <w:rPr>
        <w:rFonts w:hint="default"/>
        <w:lang w:val="en-gb" w:eastAsia="en-US" w:bidi="ar-SA"/>
      </w:rPr>
    </w:lvl>
    <w:lvl w:ilvl="5">
      <w:start w:val="0"/>
      <w:numFmt w:val="bullet"/>
      <w:lvlText w:val="•"/>
      <w:lvlJc w:val="left"/>
      <w:pPr>
        <w:ind w:left="6363" w:hanging="852"/>
      </w:pPr>
      <w:rPr>
        <w:rFonts w:hint="default"/>
        <w:lang w:val="en-gb" w:eastAsia="en-US" w:bidi="ar-SA"/>
      </w:rPr>
    </w:lvl>
    <w:lvl w:ilvl="6">
      <w:start w:val="0"/>
      <w:numFmt w:val="bullet"/>
      <w:lvlText w:val="•"/>
      <w:lvlJc w:val="left"/>
      <w:pPr>
        <w:ind w:left="7247" w:hanging="852"/>
      </w:pPr>
      <w:rPr>
        <w:rFonts w:hint="default"/>
        <w:lang w:val="en-gb" w:eastAsia="en-US" w:bidi="ar-SA"/>
      </w:rPr>
    </w:lvl>
    <w:lvl w:ilvl="7">
      <w:start w:val="0"/>
      <w:numFmt w:val="bullet"/>
      <w:lvlText w:val="•"/>
      <w:lvlJc w:val="left"/>
      <w:pPr>
        <w:ind w:left="8132" w:hanging="852"/>
      </w:pPr>
      <w:rPr>
        <w:rFonts w:hint="default"/>
        <w:lang w:val="en-gb" w:eastAsia="en-US" w:bidi="ar-SA"/>
      </w:rPr>
    </w:lvl>
    <w:lvl w:ilvl="8">
      <w:start w:val="0"/>
      <w:numFmt w:val="bullet"/>
      <w:lvlText w:val="•"/>
      <w:lvlJc w:val="left"/>
      <w:pPr>
        <w:ind w:left="9017" w:hanging="852"/>
      </w:pPr>
      <w:rPr>
        <w:rFonts w:hint="default"/>
        <w:lang w:val="en-gb" w:eastAsia="en-US" w:bidi="ar-SA"/>
      </w:rPr>
    </w:lvl>
  </w:abstractNum>
  <w:abstractNum w:abstractNumId="0">
    <w:multiLevelType w:val="hybridMultilevel"/>
    <w:lvl w:ilvl="0">
      <w:start w:val="1"/>
      <w:numFmt w:val="decimal"/>
      <w:lvlText w:val="%1."/>
      <w:lvlJc w:val="left"/>
      <w:pPr>
        <w:ind w:left="1930" w:hanging="852"/>
        <w:jc w:val="left"/>
      </w:pPr>
      <w:rPr>
        <w:rFonts w:hint="default" w:ascii="Verdana" w:hAnsi="Verdana" w:eastAsia="Verdana" w:cs="Verdana"/>
        <w:w w:val="100"/>
        <w:sz w:val="18"/>
        <w:szCs w:val="18"/>
        <w:lang w:val="en-gb" w:eastAsia="en-US" w:bidi="ar-SA"/>
      </w:rPr>
    </w:lvl>
    <w:lvl w:ilvl="1">
      <w:start w:val="1"/>
      <w:numFmt w:val="lowerLetter"/>
      <w:lvlText w:val="(%2)"/>
      <w:lvlJc w:val="left"/>
      <w:pPr>
        <w:ind w:left="2619" w:hanging="418"/>
        <w:jc w:val="left"/>
      </w:pPr>
      <w:rPr>
        <w:rFonts w:hint="default" w:ascii="Verdana" w:hAnsi="Verdana" w:eastAsia="Verdana" w:cs="Verdana"/>
        <w:i/>
        <w:spacing w:val="-1"/>
        <w:w w:val="100"/>
        <w:sz w:val="18"/>
        <w:szCs w:val="18"/>
        <w:lang w:val="en-gb" w:eastAsia="en-US" w:bidi="ar-SA"/>
      </w:rPr>
    </w:lvl>
    <w:lvl w:ilvl="2">
      <w:start w:val="0"/>
      <w:numFmt w:val="bullet"/>
      <w:lvlText w:val="•"/>
      <w:lvlJc w:val="left"/>
      <w:pPr>
        <w:ind w:left="2780" w:hanging="418"/>
      </w:pPr>
      <w:rPr>
        <w:rFonts w:hint="default"/>
        <w:lang w:val="en-gb" w:eastAsia="en-US" w:bidi="ar-SA"/>
      </w:rPr>
    </w:lvl>
    <w:lvl w:ilvl="3">
      <w:start w:val="0"/>
      <w:numFmt w:val="bullet"/>
      <w:lvlText w:val="•"/>
      <w:lvlJc w:val="left"/>
      <w:pPr>
        <w:ind w:left="2900" w:hanging="418"/>
      </w:pPr>
      <w:rPr>
        <w:rFonts w:hint="default"/>
        <w:lang w:val="en-gb" w:eastAsia="en-US" w:bidi="ar-SA"/>
      </w:rPr>
    </w:lvl>
    <w:lvl w:ilvl="4">
      <w:start w:val="0"/>
      <w:numFmt w:val="bullet"/>
      <w:lvlText w:val="•"/>
      <w:lvlJc w:val="left"/>
      <w:pPr>
        <w:ind w:left="4026" w:hanging="418"/>
      </w:pPr>
      <w:rPr>
        <w:rFonts w:hint="default"/>
        <w:lang w:val="en-gb" w:eastAsia="en-US" w:bidi="ar-SA"/>
      </w:rPr>
    </w:lvl>
    <w:lvl w:ilvl="5">
      <w:start w:val="0"/>
      <w:numFmt w:val="bullet"/>
      <w:lvlText w:val="•"/>
      <w:lvlJc w:val="left"/>
      <w:pPr>
        <w:ind w:left="5153" w:hanging="418"/>
      </w:pPr>
      <w:rPr>
        <w:rFonts w:hint="default"/>
        <w:lang w:val="en-gb" w:eastAsia="en-US" w:bidi="ar-SA"/>
      </w:rPr>
    </w:lvl>
    <w:lvl w:ilvl="6">
      <w:start w:val="0"/>
      <w:numFmt w:val="bullet"/>
      <w:lvlText w:val="•"/>
      <w:lvlJc w:val="left"/>
      <w:pPr>
        <w:ind w:left="6279" w:hanging="418"/>
      </w:pPr>
      <w:rPr>
        <w:rFonts w:hint="default"/>
        <w:lang w:val="en-gb" w:eastAsia="en-US" w:bidi="ar-SA"/>
      </w:rPr>
    </w:lvl>
    <w:lvl w:ilvl="7">
      <w:start w:val="0"/>
      <w:numFmt w:val="bullet"/>
      <w:lvlText w:val="•"/>
      <w:lvlJc w:val="left"/>
      <w:pPr>
        <w:ind w:left="7406" w:hanging="418"/>
      </w:pPr>
      <w:rPr>
        <w:rFonts w:hint="default"/>
        <w:lang w:val="en-gb" w:eastAsia="en-US" w:bidi="ar-SA"/>
      </w:rPr>
    </w:lvl>
    <w:lvl w:ilvl="8">
      <w:start w:val="0"/>
      <w:numFmt w:val="bullet"/>
      <w:lvlText w:val="•"/>
      <w:lvlJc w:val="left"/>
      <w:pPr>
        <w:ind w:left="8533" w:hanging="418"/>
      </w:pPr>
      <w:rPr>
        <w:rFonts w:hint="default"/>
        <w:lang w:val="en-gb"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US" w:bidi="ar-SA"/>
    </w:rPr>
  </w:style>
  <w:style w:styleId="BodyText" w:type="paragraph">
    <w:name w:val="Body Text"/>
    <w:basedOn w:val="Normal"/>
    <w:uiPriority w:val="1"/>
    <w:qFormat/>
    <w:pPr/>
    <w:rPr>
      <w:rFonts w:ascii="Verdana" w:hAnsi="Verdana" w:eastAsia="Verdana" w:cs="Verdana"/>
      <w:sz w:val="18"/>
      <w:szCs w:val="18"/>
      <w:lang w:val="en-gb" w:eastAsia="en-US" w:bidi="ar-SA"/>
    </w:rPr>
  </w:style>
  <w:style w:styleId="Heading1" w:type="paragraph">
    <w:name w:val="Heading 1"/>
    <w:basedOn w:val="Normal"/>
    <w:uiPriority w:val="1"/>
    <w:qFormat/>
    <w:pPr>
      <w:ind w:left="1078"/>
      <w:outlineLvl w:val="1"/>
    </w:pPr>
    <w:rPr>
      <w:rFonts w:ascii="Verdana" w:hAnsi="Verdana" w:eastAsia="Verdana" w:cs="Verdana"/>
      <w:b/>
      <w:bCs/>
      <w:sz w:val="24"/>
      <w:szCs w:val="24"/>
      <w:lang w:val="en-gb" w:eastAsia="en-US" w:bidi="ar-SA"/>
    </w:rPr>
  </w:style>
  <w:style w:styleId="Heading2" w:type="paragraph">
    <w:name w:val="Heading 2"/>
    <w:basedOn w:val="Normal"/>
    <w:uiPriority w:val="1"/>
    <w:qFormat/>
    <w:pPr>
      <w:ind w:left="1930" w:hanging="852"/>
      <w:outlineLvl w:val="2"/>
    </w:pPr>
    <w:rPr>
      <w:rFonts w:ascii="Verdana" w:hAnsi="Verdana" w:eastAsia="Verdana" w:cs="Verdana"/>
      <w:b/>
      <w:bCs/>
      <w:sz w:val="18"/>
      <w:szCs w:val="18"/>
      <w:lang w:val="en-gb" w:eastAsia="en-US" w:bidi="ar-SA"/>
    </w:rPr>
  </w:style>
  <w:style w:styleId="Title" w:type="paragraph">
    <w:name w:val="Title"/>
    <w:basedOn w:val="Normal"/>
    <w:uiPriority w:val="1"/>
    <w:qFormat/>
    <w:pPr>
      <w:spacing w:before="100"/>
      <w:ind w:right="640"/>
      <w:jc w:val="right"/>
    </w:pPr>
    <w:rPr>
      <w:rFonts w:ascii="Verdana" w:hAnsi="Verdana" w:eastAsia="Verdana" w:cs="Verdana"/>
      <w:b/>
      <w:bCs/>
      <w:sz w:val="32"/>
      <w:szCs w:val="32"/>
      <w:lang w:val="en-gb" w:eastAsia="en-US" w:bidi="ar-SA"/>
    </w:rPr>
  </w:style>
  <w:style w:styleId="ListParagraph" w:type="paragraph">
    <w:name w:val="List Paragraph"/>
    <w:basedOn w:val="Normal"/>
    <w:uiPriority w:val="1"/>
    <w:qFormat/>
    <w:pPr>
      <w:ind w:left="1930" w:hanging="853"/>
    </w:pPr>
    <w:rPr>
      <w:rFonts w:ascii="Verdana" w:hAnsi="Verdana" w:eastAsia="Verdana" w:cs="Verdana"/>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ico.org.uk/media/action-weve-%20taken/decision-notices/2011/639676/fs_50368110.pdf" TargetMode="External"/><Relationship Id="rId9" Type="http://schemas.openxmlformats.org/officeDocument/2006/relationships/hyperlink" Target="https://ico.org.uk/media/action-weve-taken/decision-notices/2015/1432942/fs_50566663.pdf" TargetMode="External"/><Relationship Id="rId10" Type="http://schemas.openxmlformats.org/officeDocument/2006/relationships/hyperlink" Target="https://www.bailii.org/uk/cases/UKFTT/GRC/2016/2015_0222.pdf" TargetMode="External"/><Relationship Id="rId11" Type="http://schemas.openxmlformats.org/officeDocument/2006/relationships/hyperlink" Target="http://www.assembly.wales/laid%20documents/ld5702%20-%20the%20local%20safeguarding%20children%20boards%20(wales)%20regulations%202006%20regulatory%20appraisal-06062006-20254/bus-guide-n0000000000000000000000000044936-english.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2020-11-05T21:19:26Z</dcterms:created>
  <dcterms:modified xsi:type="dcterms:W3CDTF">2020-11-05T21:19:26Z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LastSaved">
    <vt:filetime>2020-11-05T00:00:00Z</vt:filetime>
  </property>
</Properties>
</file>